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943" w:rsidRPr="007B4829" w:rsidRDefault="007B4829" w:rsidP="007B4829">
      <w:pPr>
        <w:spacing w:after="0" w:line="240" w:lineRule="auto"/>
        <w:jc w:val="both"/>
        <w:rPr>
          <w:b/>
          <w:sz w:val="44"/>
          <w:szCs w:val="44"/>
        </w:rPr>
      </w:pPr>
      <w:r w:rsidRPr="007B4829">
        <w:rPr>
          <w:b/>
          <w:sz w:val="44"/>
          <w:szCs w:val="44"/>
        </w:rPr>
        <w:t>FECHA 27/OCT/ 2014</w:t>
      </w:r>
    </w:p>
    <w:p w:rsidR="007B4829" w:rsidRPr="007B4829" w:rsidRDefault="007B4829" w:rsidP="007B4829">
      <w:pPr>
        <w:spacing w:after="0" w:line="240" w:lineRule="auto"/>
        <w:jc w:val="center"/>
        <w:rPr>
          <w:b/>
          <w:sz w:val="44"/>
          <w:szCs w:val="44"/>
        </w:rPr>
      </w:pPr>
      <w:r w:rsidRPr="007B4829">
        <w:rPr>
          <w:b/>
          <w:sz w:val="44"/>
          <w:szCs w:val="44"/>
        </w:rPr>
        <w:t>TEMA</w:t>
      </w:r>
      <w:r w:rsidR="00BC68C6">
        <w:rPr>
          <w:b/>
          <w:sz w:val="44"/>
          <w:szCs w:val="44"/>
        </w:rPr>
        <w:t>1</w:t>
      </w:r>
      <w:r w:rsidRPr="007B4829">
        <w:rPr>
          <w:b/>
          <w:sz w:val="44"/>
          <w:szCs w:val="44"/>
        </w:rPr>
        <w:t>: FOLLETO</w:t>
      </w:r>
    </w:p>
    <w:p w:rsidR="007B4829" w:rsidRPr="007B4829" w:rsidRDefault="007B4829" w:rsidP="007B4829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Demi" w:hAnsi="ITCFranklinGothicStd-Demi" w:cs="ITCFranklinGothicStd-Demi"/>
          <w:color w:val="FF0000"/>
          <w:sz w:val="44"/>
          <w:szCs w:val="44"/>
        </w:rPr>
      </w:pPr>
      <w:r w:rsidRPr="007B4829">
        <w:rPr>
          <w:rFonts w:ascii="ITCFranklinGothicStd-Book" w:hAnsi="ITCFranklinGothicStd-Book" w:cs="ITCFranklinGothicStd-Book"/>
          <w:color w:val="000000"/>
          <w:sz w:val="44"/>
          <w:szCs w:val="44"/>
        </w:rPr>
        <w:t xml:space="preserve">Un </w:t>
      </w:r>
      <w:r w:rsidRPr="007B4829">
        <w:rPr>
          <w:rFonts w:ascii="ITCFranklinGothicStd-Demi" w:hAnsi="ITCFranklinGothicStd-Demi" w:cs="ITCFranklinGothicStd-Demi"/>
          <w:color w:val="FF0000"/>
          <w:sz w:val="44"/>
          <w:szCs w:val="44"/>
        </w:rPr>
        <w:t xml:space="preserve">folleto </w:t>
      </w:r>
      <w:r w:rsidRPr="007B4829">
        <w:rPr>
          <w:rFonts w:ascii="ITCFranklinGothicStd-Book" w:hAnsi="ITCFranklinGothicStd-Book" w:cs="ITCFranklinGothicStd-Book"/>
          <w:color w:val="000000"/>
          <w:sz w:val="44"/>
          <w:szCs w:val="44"/>
        </w:rPr>
        <w:t xml:space="preserve">es un </w:t>
      </w:r>
      <w:r w:rsidRPr="007B4829">
        <w:rPr>
          <w:rFonts w:ascii="ITCFranklinGothicStd-Demi" w:hAnsi="ITCFranklinGothicStd-Demi" w:cs="ITCFranklinGothicStd-Demi"/>
          <w:color w:val="FF0000"/>
          <w:sz w:val="44"/>
          <w:szCs w:val="44"/>
        </w:rPr>
        <w:t xml:space="preserve">impreso </w:t>
      </w:r>
      <w:r w:rsidRPr="007B4829">
        <w:rPr>
          <w:rFonts w:ascii="ITCFranklinGothicStd-Book" w:hAnsi="ITCFranklinGothicStd-Book" w:cs="ITCFranklinGothicStd-Book"/>
          <w:color w:val="000000"/>
          <w:sz w:val="44"/>
          <w:szCs w:val="44"/>
        </w:rPr>
        <w:t>breve dirigido a muchas</w:t>
      </w:r>
      <w:r w:rsidRPr="007B4829">
        <w:rPr>
          <w:rFonts w:ascii="ITCFranklinGothicStd-Demi" w:hAnsi="ITCFranklinGothicStd-Demi" w:cs="ITCFranklinGothicStd-Demi"/>
          <w:color w:val="FF0000"/>
          <w:sz w:val="44"/>
          <w:szCs w:val="44"/>
        </w:rPr>
        <w:t xml:space="preserve"> </w:t>
      </w:r>
      <w:r w:rsidRPr="007B4829">
        <w:rPr>
          <w:rFonts w:ascii="ITCFranklinGothicStd-Book" w:hAnsi="ITCFranklinGothicStd-Book" w:cs="ITCFranklinGothicStd-Book"/>
          <w:color w:val="000000"/>
          <w:sz w:val="44"/>
          <w:szCs w:val="44"/>
        </w:rPr>
        <w:t>personas; se compone de</w:t>
      </w:r>
      <w:r>
        <w:rPr>
          <w:rFonts w:ascii="ITCFranklinGothicStd-Demi" w:hAnsi="ITCFranklinGothicStd-Demi" w:cs="ITCFranklinGothicStd-Demi"/>
          <w:color w:val="FF0000"/>
          <w:sz w:val="44"/>
          <w:szCs w:val="44"/>
        </w:rPr>
        <w:t xml:space="preserve"> </w:t>
      </w:r>
      <w:r w:rsidRPr="007B4829">
        <w:rPr>
          <w:rFonts w:ascii="ITCFranklinGothicStd-Demi" w:hAnsi="ITCFranklinGothicStd-Demi" w:cs="ITCFranklinGothicStd-Demi"/>
          <w:color w:val="FF0000"/>
          <w:sz w:val="44"/>
          <w:szCs w:val="44"/>
        </w:rPr>
        <w:t xml:space="preserve">imágenes </w:t>
      </w:r>
      <w:r w:rsidRPr="007B4829">
        <w:rPr>
          <w:rFonts w:ascii="ITCFranklinGothicStd-Book" w:hAnsi="ITCFranklinGothicStd-Book" w:cs="ITCFranklinGothicStd-Book"/>
          <w:color w:val="000000"/>
          <w:sz w:val="44"/>
          <w:szCs w:val="44"/>
        </w:rPr>
        <w:t xml:space="preserve">y </w:t>
      </w:r>
      <w:r w:rsidRPr="007B4829">
        <w:rPr>
          <w:rFonts w:ascii="ITCFranklinGothicStd-Demi" w:hAnsi="ITCFranklinGothicStd-Demi" w:cs="ITCFranklinGothicStd-Demi"/>
          <w:color w:val="FF0000"/>
          <w:sz w:val="44"/>
          <w:szCs w:val="44"/>
        </w:rPr>
        <w:t>textos</w:t>
      </w:r>
      <w:r w:rsidRPr="007B4829">
        <w:rPr>
          <w:rFonts w:ascii="ITCFranklinGothicStd-Book" w:hAnsi="ITCFranklinGothicStd-Book" w:cs="ITCFranklinGothicStd-Book"/>
          <w:color w:val="000000"/>
          <w:sz w:val="44"/>
          <w:szCs w:val="44"/>
        </w:rPr>
        <w:t>, y sirve</w:t>
      </w:r>
      <w:r w:rsidRPr="007B4829">
        <w:rPr>
          <w:rFonts w:ascii="ITCFranklinGothicStd-Demi" w:hAnsi="ITCFranklinGothicStd-Demi" w:cs="ITCFranklinGothicStd-Demi"/>
          <w:color w:val="FF0000"/>
          <w:sz w:val="44"/>
          <w:szCs w:val="44"/>
        </w:rPr>
        <w:t xml:space="preserve"> </w:t>
      </w:r>
      <w:r w:rsidRPr="007B4829">
        <w:rPr>
          <w:rFonts w:ascii="ITCFranklinGothicStd-Book" w:hAnsi="ITCFranklinGothicStd-Book" w:cs="ITCFranklinGothicStd-Book"/>
          <w:color w:val="000000"/>
          <w:sz w:val="44"/>
          <w:szCs w:val="44"/>
        </w:rPr>
        <w:t xml:space="preserve">para </w:t>
      </w:r>
      <w:r w:rsidRPr="007B4829">
        <w:rPr>
          <w:rFonts w:ascii="ITCFranklinGothicStd-Demi" w:hAnsi="ITCFranklinGothicStd-Demi" w:cs="ITCFranklinGothicStd-Demi"/>
          <w:color w:val="FF0000"/>
          <w:sz w:val="44"/>
          <w:szCs w:val="44"/>
        </w:rPr>
        <w:t xml:space="preserve">dar a conocer </w:t>
      </w:r>
      <w:r w:rsidRPr="007B4829">
        <w:rPr>
          <w:rFonts w:ascii="ITCFranklinGothicStd-Book" w:hAnsi="ITCFranklinGothicStd-Book" w:cs="ITCFranklinGothicStd-Book"/>
          <w:color w:val="000000"/>
          <w:sz w:val="44"/>
          <w:szCs w:val="44"/>
        </w:rPr>
        <w:t>un tema o</w:t>
      </w:r>
      <w:r w:rsidRPr="007B4829">
        <w:rPr>
          <w:rFonts w:ascii="ITCFranklinGothicStd-Demi" w:hAnsi="ITCFranklinGothicStd-Demi" w:cs="ITCFranklinGothicStd-Demi"/>
          <w:color w:val="FF0000"/>
          <w:sz w:val="44"/>
          <w:szCs w:val="44"/>
        </w:rPr>
        <w:t xml:space="preserve"> </w:t>
      </w:r>
      <w:r w:rsidRPr="007B4829">
        <w:rPr>
          <w:rFonts w:ascii="ITCFranklinGothicStd-Book" w:hAnsi="ITCFranklinGothicStd-Book" w:cs="ITCFranklinGothicStd-Book"/>
          <w:color w:val="000000"/>
          <w:sz w:val="44"/>
          <w:szCs w:val="44"/>
        </w:rPr>
        <w:t>hacer publicidad; por ejemplo:</w:t>
      </w:r>
    </w:p>
    <w:p w:rsidR="007B4829" w:rsidRPr="007B4829" w:rsidRDefault="007B4829" w:rsidP="007B4829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44"/>
          <w:szCs w:val="44"/>
        </w:rPr>
      </w:pPr>
      <w:r w:rsidRPr="007B4829">
        <w:rPr>
          <w:rFonts w:ascii="TradeGothicLTStd-Light" w:hAnsi="TradeGothicLTStd-Light" w:cs="TradeGothicLTStd-Light"/>
          <w:color w:val="4AB300"/>
          <w:sz w:val="44"/>
          <w:szCs w:val="44"/>
        </w:rPr>
        <w:t xml:space="preserve">• </w:t>
      </w:r>
      <w:r w:rsidRPr="007B4829">
        <w:rPr>
          <w:rFonts w:ascii="ITCFranklinGothicStd-Book" w:hAnsi="ITCFranklinGothicStd-Book" w:cs="ITCFranklinGothicStd-Book"/>
          <w:color w:val="000000"/>
          <w:sz w:val="44"/>
          <w:szCs w:val="44"/>
        </w:rPr>
        <w:t>Vender productos u ofrecer servicios</w:t>
      </w:r>
    </w:p>
    <w:p w:rsidR="007B4829" w:rsidRPr="007B4829" w:rsidRDefault="007B4829" w:rsidP="007B4829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44"/>
          <w:szCs w:val="44"/>
        </w:rPr>
      </w:pPr>
      <w:r w:rsidRPr="007B4829">
        <w:rPr>
          <w:rFonts w:ascii="TradeGothicLTStd-Light" w:hAnsi="TradeGothicLTStd-Light" w:cs="TradeGothicLTStd-Light"/>
          <w:color w:val="4AB300"/>
          <w:sz w:val="44"/>
          <w:szCs w:val="44"/>
        </w:rPr>
        <w:t xml:space="preserve">• </w:t>
      </w:r>
      <w:r w:rsidRPr="007B4829">
        <w:rPr>
          <w:rFonts w:ascii="ITCFranklinGothicStd-Book" w:hAnsi="ITCFranklinGothicStd-Book" w:cs="ITCFranklinGothicStd-Book"/>
          <w:color w:val="000000"/>
          <w:sz w:val="44"/>
          <w:szCs w:val="44"/>
        </w:rPr>
        <w:t>Informar sobre las acciones por realizar en caso de desastres y promover el cuidado de la salud</w:t>
      </w:r>
    </w:p>
    <w:p w:rsidR="007B4829" w:rsidRPr="007B4829" w:rsidRDefault="007B4829" w:rsidP="007B4829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44"/>
          <w:szCs w:val="44"/>
        </w:rPr>
      </w:pPr>
      <w:r w:rsidRPr="007B4829">
        <w:rPr>
          <w:rFonts w:ascii="TradeGothicLTStd-Light" w:hAnsi="TradeGothicLTStd-Light" w:cs="TradeGothicLTStd-Light"/>
          <w:color w:val="4AB300"/>
          <w:sz w:val="44"/>
          <w:szCs w:val="44"/>
        </w:rPr>
        <w:t xml:space="preserve">• </w:t>
      </w:r>
      <w:r w:rsidRPr="007B4829">
        <w:rPr>
          <w:rFonts w:ascii="ITCFranklinGothicStd-Book" w:hAnsi="ITCFranklinGothicStd-Book" w:cs="ITCFranklinGothicStd-Book"/>
          <w:color w:val="000000"/>
          <w:sz w:val="44"/>
          <w:szCs w:val="44"/>
        </w:rPr>
        <w:t>Dar a conocer campañas sociales o políticas</w:t>
      </w:r>
    </w:p>
    <w:p w:rsidR="007B4829" w:rsidRPr="007B4829" w:rsidRDefault="007B4829" w:rsidP="007B4829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44"/>
          <w:szCs w:val="44"/>
        </w:rPr>
      </w:pPr>
      <w:r w:rsidRPr="007B4829">
        <w:rPr>
          <w:rFonts w:ascii="TradeGothicLTStd-Light" w:hAnsi="TradeGothicLTStd-Light" w:cs="TradeGothicLTStd-Light"/>
          <w:color w:val="4AB300"/>
          <w:sz w:val="44"/>
          <w:szCs w:val="44"/>
        </w:rPr>
        <w:t xml:space="preserve">• </w:t>
      </w:r>
      <w:r w:rsidRPr="007B4829">
        <w:rPr>
          <w:rFonts w:ascii="ITCFranklinGothicStd-Book" w:hAnsi="ITCFranklinGothicStd-Book" w:cs="ITCFranklinGothicStd-Book"/>
          <w:color w:val="000000"/>
          <w:sz w:val="44"/>
          <w:szCs w:val="44"/>
        </w:rPr>
        <w:t>Describir el funcionamiento de aparatos, máquinas o herramientas</w:t>
      </w:r>
    </w:p>
    <w:p w:rsidR="007B4829" w:rsidRPr="007B4829" w:rsidRDefault="007B4829" w:rsidP="007B4829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44"/>
          <w:szCs w:val="44"/>
        </w:rPr>
      </w:pPr>
      <w:r w:rsidRPr="007B4829">
        <w:rPr>
          <w:rFonts w:ascii="TradeGothicLTStd-Light" w:hAnsi="TradeGothicLTStd-Light" w:cs="TradeGothicLTStd-Light"/>
          <w:color w:val="4AB300"/>
          <w:sz w:val="44"/>
          <w:szCs w:val="44"/>
        </w:rPr>
        <w:t xml:space="preserve">• </w:t>
      </w:r>
      <w:r w:rsidRPr="007B4829">
        <w:rPr>
          <w:rFonts w:ascii="ITCFranklinGothicStd-Book" w:hAnsi="ITCFranklinGothicStd-Book" w:cs="ITCFranklinGothicStd-Book"/>
          <w:color w:val="000000"/>
          <w:sz w:val="44"/>
          <w:szCs w:val="44"/>
        </w:rPr>
        <w:t>Promocionar visitas a lugares recreativos o culturales</w:t>
      </w:r>
    </w:p>
    <w:p w:rsidR="007B4829" w:rsidRPr="007B4829" w:rsidRDefault="007B4829" w:rsidP="007B4829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24"/>
          <w:szCs w:val="24"/>
        </w:rPr>
      </w:pPr>
    </w:p>
    <w:p w:rsidR="007B4829" w:rsidRPr="007B4829" w:rsidRDefault="007B4829" w:rsidP="007B4829">
      <w:pPr>
        <w:spacing w:after="0" w:line="240" w:lineRule="auto"/>
        <w:rPr>
          <w:b/>
          <w:sz w:val="36"/>
          <w:szCs w:val="36"/>
        </w:rPr>
      </w:pPr>
    </w:p>
    <w:p w:rsidR="007B4829" w:rsidRDefault="007B4829"/>
    <w:p w:rsidR="00EB19AB" w:rsidRDefault="00EB19AB"/>
    <w:p w:rsidR="00EB19AB" w:rsidRDefault="00EB19AB"/>
    <w:p w:rsidR="00EB19AB" w:rsidRDefault="00EB19AB"/>
    <w:p w:rsidR="00EB19AB" w:rsidRDefault="00EB19AB"/>
    <w:p w:rsidR="00EB19AB" w:rsidRDefault="00EB19AB"/>
    <w:p w:rsidR="00EB19AB" w:rsidRDefault="00EB19AB"/>
    <w:p w:rsidR="00EB19AB" w:rsidRDefault="00EB19AB"/>
    <w:p w:rsidR="00EB19AB" w:rsidRDefault="00EB19AB"/>
    <w:p w:rsidR="00EB19AB" w:rsidRDefault="00EB19AB"/>
    <w:p w:rsidR="00EB19AB" w:rsidRPr="00EB19AB" w:rsidRDefault="00EB19AB" w:rsidP="00EB19AB">
      <w:pPr>
        <w:rPr>
          <w:sz w:val="52"/>
          <w:szCs w:val="52"/>
        </w:rPr>
      </w:pPr>
      <w:r w:rsidRPr="00EB19AB">
        <w:rPr>
          <w:sz w:val="52"/>
          <w:szCs w:val="52"/>
        </w:rPr>
        <w:lastRenderedPageBreak/>
        <w:t>Fecha</w:t>
      </w:r>
    </w:p>
    <w:p w:rsidR="00EB19AB" w:rsidRDefault="00EB19AB" w:rsidP="00EB19AB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52"/>
          <w:szCs w:val="52"/>
        </w:rPr>
      </w:pPr>
      <w:r w:rsidRPr="00EB19AB">
        <w:rPr>
          <w:sz w:val="52"/>
          <w:szCs w:val="52"/>
        </w:rPr>
        <w:t xml:space="preserve">TEMA 2: </w:t>
      </w:r>
      <w:r w:rsidRPr="00EB19AB">
        <w:rPr>
          <w:rFonts w:ascii="LubalinGraphStd-Demi" w:hAnsi="LubalinGraphStd-Demi" w:cs="LubalinGraphStd-Demi"/>
          <w:sz w:val="52"/>
          <w:szCs w:val="52"/>
        </w:rPr>
        <w:t>Índices, títulos y</w:t>
      </w:r>
      <w:r>
        <w:rPr>
          <w:rFonts w:ascii="LubalinGraphStd-Demi" w:hAnsi="LubalinGraphStd-Demi" w:cs="LubalinGraphStd-Demi"/>
          <w:sz w:val="52"/>
          <w:szCs w:val="52"/>
        </w:rPr>
        <w:t xml:space="preserve"> subtítulos </w:t>
      </w:r>
      <w:r w:rsidRPr="00EB19AB">
        <w:rPr>
          <w:rFonts w:ascii="LubalinGraphStd-Demi" w:hAnsi="LubalinGraphStd-Demi" w:cs="LubalinGraphStd-Demi"/>
          <w:sz w:val="52"/>
          <w:szCs w:val="52"/>
        </w:rPr>
        <w:t>para localizar</w:t>
      </w:r>
      <w:r>
        <w:rPr>
          <w:rFonts w:ascii="LubalinGraphStd-Demi" w:hAnsi="LubalinGraphStd-Demi" w:cs="LubalinGraphStd-Demi"/>
          <w:sz w:val="52"/>
          <w:szCs w:val="52"/>
        </w:rPr>
        <w:t xml:space="preserve"> </w:t>
      </w:r>
      <w:r w:rsidRPr="00EB19AB">
        <w:rPr>
          <w:rFonts w:ascii="LubalinGraphStd-Demi" w:hAnsi="LubalinGraphStd-Demi" w:cs="LubalinGraphStd-Demi"/>
          <w:sz w:val="52"/>
          <w:szCs w:val="52"/>
        </w:rPr>
        <w:t>información específica</w:t>
      </w:r>
      <w:r>
        <w:rPr>
          <w:rFonts w:ascii="LubalinGraphStd-Demi" w:hAnsi="LubalinGraphStd-Demi" w:cs="LubalinGraphStd-Demi"/>
          <w:sz w:val="52"/>
          <w:szCs w:val="52"/>
        </w:rPr>
        <w:t>.</w:t>
      </w:r>
    </w:p>
    <w:p w:rsidR="00EB19AB" w:rsidRPr="00EB19AB" w:rsidRDefault="00EB19AB" w:rsidP="00EB19AB">
      <w:pPr>
        <w:autoSpaceDE w:val="0"/>
        <w:autoSpaceDN w:val="0"/>
        <w:adjustRightInd w:val="0"/>
        <w:spacing w:after="0" w:line="240" w:lineRule="auto"/>
        <w:jc w:val="both"/>
        <w:rPr>
          <w:rFonts w:ascii="LubalinGraphStd-Demi" w:hAnsi="LubalinGraphStd-Demi" w:cs="LubalinGraphStd-Demi"/>
          <w:sz w:val="36"/>
          <w:szCs w:val="36"/>
        </w:rPr>
      </w:pPr>
    </w:p>
    <w:p w:rsidR="00EB19AB" w:rsidRPr="00EB19AB" w:rsidRDefault="00EB19AB" w:rsidP="00EB19AB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EB19AB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Cuando necesitamos localizar información específica sobre un tema, podemos recurrir a los libros. El </w:t>
      </w:r>
      <w:r w:rsidRPr="00EB19AB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título </w:t>
      </w:r>
      <w:r w:rsidRPr="00EB19AB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de un libro es la palabra o frase que aparece en la </w:t>
      </w:r>
      <w:r w:rsidRPr="00EB19AB">
        <w:rPr>
          <w:rFonts w:ascii="ITCFranklinGothicStd-Demi" w:hAnsi="ITCFranklinGothicStd-Demi" w:cs="ITCFranklinGothicStd-Demi"/>
          <w:color w:val="FF0000"/>
          <w:sz w:val="36"/>
          <w:szCs w:val="36"/>
        </w:rPr>
        <w:t>portada</w:t>
      </w:r>
      <w:r w:rsidRPr="00EB19AB">
        <w:rPr>
          <w:rFonts w:ascii="ITCFranklinGothicStd-Book" w:hAnsi="ITCFranklinGothicStd-Book" w:cs="ITCFranklinGothicStd-Book"/>
          <w:color w:val="000000"/>
          <w:sz w:val="36"/>
          <w:szCs w:val="36"/>
        </w:rPr>
        <w:t>. Con el título se da a conocer el contenido de la obra.</w:t>
      </w:r>
    </w:p>
    <w:p w:rsidR="00EB19AB" w:rsidRPr="00EB19AB" w:rsidRDefault="00EB19AB" w:rsidP="00EB19AB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EB19AB" w:rsidRPr="00EB19AB" w:rsidRDefault="00EB19AB" w:rsidP="00EB19AB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EB19AB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El contenido se puede dividir en </w:t>
      </w:r>
      <w:r w:rsidRPr="00EB19AB">
        <w:rPr>
          <w:rFonts w:ascii="ITCFranklinGothicStd-Demi" w:hAnsi="ITCFranklinGothicStd-Demi" w:cs="ITCFranklinGothicStd-Demi"/>
          <w:color w:val="FF0000"/>
          <w:sz w:val="36"/>
          <w:szCs w:val="36"/>
        </w:rPr>
        <w:t>capítulos</w:t>
      </w:r>
      <w:r w:rsidRPr="00EB19AB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. Cada capítulo puede tener un título y varios </w:t>
      </w:r>
      <w:r w:rsidRPr="00EB19AB">
        <w:rPr>
          <w:rFonts w:ascii="ITCFranklinGothicStd-Demi" w:hAnsi="ITCFranklinGothicStd-Demi" w:cs="ITCFranklinGothicStd-Demi"/>
          <w:color w:val="FF0000"/>
          <w:sz w:val="36"/>
          <w:szCs w:val="36"/>
        </w:rPr>
        <w:t>subtítulos</w:t>
      </w:r>
      <w:r w:rsidRPr="00EB19AB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EB19AB" w:rsidRPr="00EB19AB" w:rsidRDefault="00EB19AB" w:rsidP="00EB19AB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EB19AB" w:rsidRPr="00EB19AB" w:rsidRDefault="00EB19AB" w:rsidP="00EB19AB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EB19AB">
        <w:rPr>
          <w:rFonts w:ascii="ITCFranklinGothicStd-Book" w:hAnsi="ITCFranklinGothicStd-Book" w:cs="ITCFranklinGothicStd-Book"/>
          <w:color w:val="000000"/>
          <w:sz w:val="36"/>
          <w:szCs w:val="36"/>
        </w:rPr>
        <w:t>Los subtítulos se utilizan para separar las partes de un capítulo y anticipar su contenido.</w:t>
      </w:r>
    </w:p>
    <w:p w:rsidR="00EB19AB" w:rsidRPr="00EB19AB" w:rsidRDefault="00EB19AB" w:rsidP="00EB19AB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EB19AB" w:rsidRPr="00EB19AB" w:rsidRDefault="00EB19AB" w:rsidP="00EB19AB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EB19AB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El </w:t>
      </w:r>
      <w:r w:rsidRPr="00EB19AB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índice </w:t>
      </w:r>
      <w:r w:rsidRPr="00EB19AB">
        <w:rPr>
          <w:rFonts w:ascii="ITCFranklinGothicStd-Book" w:hAnsi="ITCFranklinGothicStd-Book" w:cs="ITCFranklinGothicStd-Book"/>
          <w:color w:val="000000"/>
          <w:sz w:val="36"/>
          <w:szCs w:val="36"/>
        </w:rPr>
        <w:t>del libro es la lista de títulos y subtítulos con el número de la página donde empieza cada uno.</w:t>
      </w:r>
    </w:p>
    <w:p w:rsidR="00EB19AB" w:rsidRPr="00EB19AB" w:rsidRDefault="00EB19AB" w:rsidP="00EB19AB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24"/>
          <w:szCs w:val="24"/>
        </w:rPr>
      </w:pPr>
    </w:p>
    <w:p w:rsidR="00EB19AB" w:rsidRDefault="00EB19AB" w:rsidP="00EB19AB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sz w:val="52"/>
          <w:szCs w:val="52"/>
        </w:rPr>
      </w:pPr>
    </w:p>
    <w:p w:rsidR="00A3550B" w:rsidRDefault="00A3550B" w:rsidP="00EB19AB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sz w:val="52"/>
          <w:szCs w:val="52"/>
        </w:rPr>
      </w:pPr>
    </w:p>
    <w:p w:rsidR="00A3550B" w:rsidRDefault="00A3550B" w:rsidP="00EB19AB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sz w:val="52"/>
          <w:szCs w:val="52"/>
        </w:rPr>
      </w:pPr>
    </w:p>
    <w:p w:rsidR="00A3550B" w:rsidRDefault="00A3550B" w:rsidP="00EB19AB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sz w:val="52"/>
          <w:szCs w:val="52"/>
        </w:rPr>
      </w:pPr>
    </w:p>
    <w:p w:rsidR="00A3550B" w:rsidRDefault="00A3550B" w:rsidP="00EB19AB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sz w:val="52"/>
          <w:szCs w:val="52"/>
        </w:rPr>
      </w:pPr>
    </w:p>
    <w:p w:rsidR="00A3550B" w:rsidRDefault="00A3550B" w:rsidP="00EB19AB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sz w:val="52"/>
          <w:szCs w:val="52"/>
        </w:rPr>
      </w:pPr>
    </w:p>
    <w:p w:rsidR="00A3550B" w:rsidRDefault="00A3550B" w:rsidP="00EB19AB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sz w:val="52"/>
          <w:szCs w:val="52"/>
        </w:rPr>
      </w:pPr>
    </w:p>
    <w:p w:rsidR="00A3550B" w:rsidRDefault="00A3550B" w:rsidP="00EB19AB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sz w:val="52"/>
          <w:szCs w:val="52"/>
        </w:rPr>
      </w:pPr>
    </w:p>
    <w:p w:rsidR="00A3550B" w:rsidRDefault="00A3550B" w:rsidP="00EB19AB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sz w:val="52"/>
          <w:szCs w:val="52"/>
        </w:rPr>
      </w:pPr>
    </w:p>
    <w:p w:rsidR="00A3550B" w:rsidRDefault="00A3550B" w:rsidP="00EB19AB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sz w:val="52"/>
          <w:szCs w:val="52"/>
        </w:rPr>
      </w:pPr>
      <w:r>
        <w:rPr>
          <w:rFonts w:ascii="LubalinGraphStd-Demi" w:hAnsi="LubalinGraphStd-Demi" w:cs="LubalinGraphStd-Demi"/>
          <w:sz w:val="52"/>
          <w:szCs w:val="52"/>
        </w:rPr>
        <w:lastRenderedPageBreak/>
        <w:t xml:space="preserve">Fecha: </w:t>
      </w:r>
    </w:p>
    <w:p w:rsidR="00A3550B" w:rsidRDefault="00A3550B" w:rsidP="00A3550B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48"/>
          <w:szCs w:val="48"/>
        </w:rPr>
      </w:pPr>
      <w:r>
        <w:rPr>
          <w:rFonts w:ascii="LubalinGraphStd-Demi" w:hAnsi="LubalinGraphStd-Demi" w:cs="LubalinGraphStd-Demi"/>
          <w:sz w:val="52"/>
          <w:szCs w:val="52"/>
        </w:rPr>
        <w:t xml:space="preserve">TEMA 3: </w:t>
      </w:r>
      <w:r>
        <w:rPr>
          <w:rFonts w:ascii="LubalinGraphStd-Demi" w:hAnsi="LubalinGraphStd-Demi" w:cs="LubalinGraphStd-Demi"/>
          <w:sz w:val="48"/>
          <w:szCs w:val="48"/>
        </w:rPr>
        <w:t>Títulos y subtítulos para</w:t>
      </w:r>
    </w:p>
    <w:p w:rsidR="00A3550B" w:rsidRDefault="00A3550B" w:rsidP="00A3550B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48"/>
          <w:szCs w:val="48"/>
        </w:rPr>
      </w:pPr>
      <w:r>
        <w:rPr>
          <w:rFonts w:ascii="LubalinGraphStd-Demi" w:hAnsi="LubalinGraphStd-Demi" w:cs="LubalinGraphStd-Demi"/>
          <w:sz w:val="48"/>
          <w:szCs w:val="48"/>
        </w:rPr>
        <w:t>organizar información</w:t>
      </w:r>
    </w:p>
    <w:p w:rsidR="00A3550B" w:rsidRDefault="00A3550B" w:rsidP="00A3550B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48"/>
          <w:szCs w:val="48"/>
        </w:rPr>
      </w:pPr>
    </w:p>
    <w:p w:rsidR="00A3550B" w:rsidRPr="00A3550B" w:rsidRDefault="00A3550B" w:rsidP="00A3550B">
      <w:pPr>
        <w:autoSpaceDE w:val="0"/>
        <w:autoSpaceDN w:val="0"/>
        <w:adjustRightInd w:val="0"/>
        <w:spacing w:after="0" w:line="240" w:lineRule="auto"/>
        <w:rPr>
          <w:rFonts w:ascii="ITCFranklinGothicStd-Demi" w:hAnsi="ITCFranklinGothicStd-Demi" w:cs="ITCFranklinGothicStd-Demi"/>
          <w:color w:val="FF0000"/>
          <w:sz w:val="36"/>
          <w:szCs w:val="36"/>
        </w:rPr>
      </w:pPr>
      <w:r w:rsidRPr="00A3550B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Los </w:t>
      </w:r>
      <w:r w:rsidRPr="00A3550B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títulos </w:t>
      </w:r>
      <w:r w:rsidRPr="00A3550B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y los </w:t>
      </w:r>
      <w:r w:rsidRPr="00A3550B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subtítulos </w:t>
      </w:r>
      <w:r w:rsidRPr="00A3550B">
        <w:rPr>
          <w:rFonts w:ascii="ITCFranklinGothicStd-Book" w:hAnsi="ITCFranklinGothicStd-Book" w:cs="ITCFranklinGothicStd-Book"/>
          <w:color w:val="000000"/>
          <w:sz w:val="36"/>
          <w:szCs w:val="36"/>
        </w:rPr>
        <w:t>se usan para organizar la</w:t>
      </w:r>
      <w:r w:rsidRPr="00A3550B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 </w:t>
      </w:r>
      <w:r w:rsidRPr="00A3550B">
        <w:rPr>
          <w:rFonts w:ascii="ITCFranklinGothicStd-Book" w:hAnsi="ITCFranklinGothicStd-Book" w:cs="ITCFranklinGothicStd-Book"/>
          <w:color w:val="000000"/>
          <w:sz w:val="36"/>
          <w:szCs w:val="36"/>
        </w:rPr>
        <w:t>información de los textos.</w:t>
      </w:r>
    </w:p>
    <w:p w:rsidR="00A3550B" w:rsidRPr="00A3550B" w:rsidRDefault="00A3550B" w:rsidP="00A3550B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A3550B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El título corresponde al </w:t>
      </w:r>
      <w:r w:rsidRPr="00A3550B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tema </w:t>
      </w:r>
      <w:r w:rsidRPr="00A3550B">
        <w:rPr>
          <w:rFonts w:ascii="ITCFranklinGothicStd-Book" w:hAnsi="ITCFranklinGothicStd-Book" w:cs="ITCFranklinGothicStd-Book"/>
          <w:color w:val="000000"/>
          <w:sz w:val="36"/>
          <w:szCs w:val="36"/>
        </w:rPr>
        <w:t>que se desarrolla en el escrito. Los subtítulos ordenan el contenido del texto.</w:t>
      </w:r>
    </w:p>
    <w:p w:rsidR="00A3550B" w:rsidRDefault="00A3550B" w:rsidP="00A3550B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20"/>
          <w:szCs w:val="20"/>
        </w:rPr>
      </w:pPr>
    </w:p>
    <w:p w:rsidR="00A3550B" w:rsidRDefault="00A3550B" w:rsidP="00A3550B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sz w:val="20"/>
          <w:szCs w:val="20"/>
        </w:rPr>
      </w:pPr>
    </w:p>
    <w:p w:rsidR="00A3550B" w:rsidRPr="00EB19AB" w:rsidRDefault="00A3550B" w:rsidP="00EB19AB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sz w:val="52"/>
          <w:szCs w:val="52"/>
        </w:rPr>
      </w:pPr>
      <w:r>
        <w:rPr>
          <w:rFonts w:ascii="LubalinGraphStd-Demi" w:hAnsi="LubalinGraphStd-Demi" w:cs="LubalinGraphStd-Demi"/>
          <w:noProof/>
          <w:sz w:val="52"/>
          <w:szCs w:val="52"/>
        </w:rPr>
        <w:drawing>
          <wp:inline distT="0" distB="0" distL="0" distR="0">
            <wp:extent cx="4300855" cy="1714500"/>
            <wp:effectExtent l="1905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257" t="17647" r="8118" b="2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5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96A" w:rsidRDefault="00A3550B">
      <w:r>
        <w:rPr>
          <w:noProof/>
        </w:rPr>
        <w:drawing>
          <wp:inline distT="0" distB="0" distL="0" distR="0">
            <wp:extent cx="4338637" cy="1909762"/>
            <wp:effectExtent l="19050" t="0" r="4763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522" t="14118" r="7143" b="26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637" cy="190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96A" w:rsidRPr="0090696A" w:rsidRDefault="0090696A" w:rsidP="0090696A"/>
    <w:p w:rsidR="0090696A" w:rsidRPr="0090696A" w:rsidRDefault="0090696A" w:rsidP="0090696A"/>
    <w:p w:rsidR="0090696A" w:rsidRPr="0090696A" w:rsidRDefault="0090696A" w:rsidP="0090696A"/>
    <w:p w:rsidR="0090696A" w:rsidRPr="0090696A" w:rsidRDefault="0090696A" w:rsidP="0090696A"/>
    <w:p w:rsidR="0090696A" w:rsidRPr="0090696A" w:rsidRDefault="0090696A" w:rsidP="0090696A"/>
    <w:p w:rsidR="0090696A" w:rsidRDefault="0090696A" w:rsidP="0090696A"/>
    <w:p w:rsidR="00EB19AB" w:rsidRDefault="0090696A" w:rsidP="0090696A">
      <w:pPr>
        <w:tabs>
          <w:tab w:val="left" w:pos="2198"/>
        </w:tabs>
      </w:pPr>
      <w:r>
        <w:tab/>
      </w:r>
    </w:p>
    <w:p w:rsidR="0090696A" w:rsidRDefault="0090696A" w:rsidP="0090696A">
      <w:pPr>
        <w:tabs>
          <w:tab w:val="left" w:pos="2198"/>
        </w:tabs>
      </w:pPr>
      <w:r>
        <w:lastRenderedPageBreak/>
        <w:t xml:space="preserve">FECHA </w:t>
      </w:r>
    </w:p>
    <w:p w:rsidR="0090696A" w:rsidRPr="0090696A" w:rsidRDefault="0090696A" w:rsidP="0090696A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48"/>
          <w:szCs w:val="48"/>
        </w:rPr>
      </w:pPr>
      <w:r w:rsidRPr="0090696A">
        <w:rPr>
          <w:sz w:val="48"/>
          <w:szCs w:val="48"/>
        </w:rPr>
        <w:t xml:space="preserve">TEMA 4 </w:t>
      </w:r>
      <w:r w:rsidRPr="0090696A">
        <w:rPr>
          <w:rFonts w:ascii="LubalinGraphStd-Demi" w:hAnsi="LubalinGraphStd-Demi" w:cs="LubalinGraphStd-Demi"/>
          <w:sz w:val="48"/>
          <w:szCs w:val="48"/>
        </w:rPr>
        <w:t>Diagramas para</w:t>
      </w:r>
    </w:p>
    <w:p w:rsidR="0090696A" w:rsidRDefault="0090696A" w:rsidP="0090696A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48"/>
          <w:szCs w:val="48"/>
        </w:rPr>
      </w:pPr>
      <w:r w:rsidRPr="0090696A">
        <w:rPr>
          <w:rFonts w:ascii="LubalinGraphStd-Demi" w:hAnsi="LubalinGraphStd-Demi" w:cs="LubalinGraphStd-Demi"/>
          <w:sz w:val="48"/>
          <w:szCs w:val="48"/>
        </w:rPr>
        <w:t>organizar información</w:t>
      </w:r>
    </w:p>
    <w:p w:rsidR="0090696A" w:rsidRPr="0090696A" w:rsidRDefault="0090696A" w:rsidP="0090696A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48"/>
          <w:szCs w:val="48"/>
        </w:rPr>
      </w:pPr>
    </w:p>
    <w:p w:rsidR="0090696A" w:rsidRPr="0090696A" w:rsidRDefault="0090696A" w:rsidP="0090696A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90696A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Los </w:t>
      </w:r>
      <w:r w:rsidRPr="0090696A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diagramas </w:t>
      </w:r>
      <w:r w:rsidRPr="0090696A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sirven para presentar, de manera </w:t>
      </w:r>
      <w:r w:rsidRPr="0090696A">
        <w:rPr>
          <w:rFonts w:ascii="ITCFranklinGothicStd-Demi" w:hAnsi="ITCFranklinGothicStd-Demi" w:cs="ITCFranklinGothicStd-Demi"/>
          <w:color w:val="FF0000"/>
          <w:sz w:val="36"/>
          <w:szCs w:val="36"/>
        </w:rPr>
        <w:t>ordenada</w:t>
      </w:r>
      <w:r w:rsidRPr="0090696A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, </w:t>
      </w:r>
      <w:r w:rsidRPr="0090696A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clara </w:t>
      </w:r>
      <w:r w:rsidRPr="0090696A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y </w:t>
      </w:r>
      <w:r w:rsidRPr="0090696A">
        <w:rPr>
          <w:rFonts w:ascii="ITCFranklinGothicStd-Demi" w:hAnsi="ITCFranklinGothicStd-Demi" w:cs="ITCFranklinGothicStd-Demi"/>
          <w:color w:val="FF0000"/>
          <w:sz w:val="36"/>
          <w:szCs w:val="36"/>
        </w:rPr>
        <w:t>sencilla</w:t>
      </w:r>
      <w:r w:rsidRPr="0090696A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, </w:t>
      </w:r>
      <w:r w:rsidRPr="0090696A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información </w:t>
      </w:r>
      <w:r w:rsidRPr="0090696A">
        <w:rPr>
          <w:rFonts w:ascii="ITCFranklinGothicStd-Book" w:hAnsi="ITCFranklinGothicStd-Book" w:cs="ITCFranklinGothicStd-Book"/>
          <w:color w:val="000000"/>
          <w:sz w:val="36"/>
          <w:szCs w:val="36"/>
        </w:rPr>
        <w:t>que comparte algunas características.</w:t>
      </w:r>
    </w:p>
    <w:p w:rsidR="0090696A" w:rsidRPr="0090696A" w:rsidRDefault="0090696A" w:rsidP="0090696A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90696A" w:rsidRPr="0090696A" w:rsidRDefault="0090696A" w:rsidP="0090696A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90696A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El orden de los elementos es el siguiente: la </w:t>
      </w:r>
      <w:r w:rsidRPr="0090696A">
        <w:rPr>
          <w:rFonts w:ascii="ITCFranklinGothicStd-Demi" w:hAnsi="ITCFranklinGothicStd-Demi" w:cs="ITCFranklinGothicStd-Demi"/>
          <w:color w:val="FF0000"/>
          <w:sz w:val="36"/>
          <w:szCs w:val="36"/>
        </w:rPr>
        <w:t>idea principal</w:t>
      </w:r>
      <w:r w:rsidRPr="0090696A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ocupa el lugar más importante y las </w:t>
      </w:r>
      <w:r w:rsidRPr="0090696A">
        <w:rPr>
          <w:rFonts w:ascii="ITCFranklinGothicStd-Demi" w:hAnsi="ITCFranklinGothicStd-Demi" w:cs="ITCFranklinGothicStd-Demi"/>
          <w:color w:val="FF0000"/>
          <w:sz w:val="36"/>
          <w:szCs w:val="36"/>
        </w:rPr>
        <w:t>ideas secundarias</w:t>
      </w:r>
      <w:r w:rsidRPr="0090696A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o </w:t>
      </w:r>
      <w:r w:rsidRPr="0090696A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subtemas </w:t>
      </w:r>
      <w:r w:rsidRPr="0090696A">
        <w:rPr>
          <w:rFonts w:ascii="ITCFranklinGothicStd-Book" w:hAnsi="ITCFranklinGothicStd-Book" w:cs="ITCFranklinGothicStd-Book"/>
          <w:color w:val="000000"/>
          <w:sz w:val="36"/>
          <w:szCs w:val="36"/>
        </w:rPr>
        <w:t>se unen a esta mediante flechas o líneas.</w:t>
      </w:r>
    </w:p>
    <w:p w:rsidR="0090696A" w:rsidRDefault="0090696A" w:rsidP="0090696A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24"/>
          <w:szCs w:val="24"/>
        </w:rPr>
      </w:pPr>
    </w:p>
    <w:p w:rsidR="0090696A" w:rsidRDefault="0090696A" w:rsidP="0090696A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24"/>
          <w:szCs w:val="24"/>
        </w:rPr>
      </w:pPr>
      <w:r>
        <w:rPr>
          <w:rFonts w:ascii="ITCFranklinGothicStd-Book" w:hAnsi="ITCFranklinGothicStd-Book" w:cs="ITCFranklinGothicStd-Book"/>
          <w:noProof/>
          <w:color w:val="000000"/>
          <w:sz w:val="24"/>
          <w:szCs w:val="24"/>
        </w:rPr>
        <w:drawing>
          <wp:inline distT="0" distB="0" distL="0" distR="0">
            <wp:extent cx="5389915" cy="1390650"/>
            <wp:effectExtent l="19050" t="0" r="12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995" t="15147" r="11376" b="5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91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96A" w:rsidRPr="0090696A" w:rsidRDefault="0090696A" w:rsidP="0090696A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24"/>
          <w:szCs w:val="24"/>
        </w:rPr>
      </w:pPr>
    </w:p>
    <w:p w:rsidR="0090696A" w:rsidRDefault="0090696A" w:rsidP="0090696A">
      <w:pPr>
        <w:tabs>
          <w:tab w:val="left" w:pos="2198"/>
        </w:tabs>
      </w:pPr>
      <w:r>
        <w:rPr>
          <w:noProof/>
        </w:rPr>
        <w:drawing>
          <wp:inline distT="0" distB="0" distL="0" distR="0">
            <wp:extent cx="5295900" cy="2908452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171" t="14118" r="9259" b="1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31" cy="291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96A" w:rsidRDefault="0090696A" w:rsidP="0090696A">
      <w:pPr>
        <w:tabs>
          <w:tab w:val="left" w:pos="2198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398758" cy="158115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346" t="19412" r="8466" b="4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58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96A" w:rsidRDefault="0090696A" w:rsidP="0090696A">
      <w:pPr>
        <w:tabs>
          <w:tab w:val="left" w:pos="2198"/>
        </w:tabs>
      </w:pPr>
    </w:p>
    <w:p w:rsidR="00B63682" w:rsidRDefault="0090696A" w:rsidP="0090696A">
      <w:pPr>
        <w:tabs>
          <w:tab w:val="left" w:pos="2198"/>
        </w:tabs>
      </w:pPr>
      <w:r>
        <w:rPr>
          <w:noProof/>
        </w:rPr>
        <w:drawing>
          <wp:inline distT="0" distB="0" distL="0" distR="0">
            <wp:extent cx="5334000" cy="3534141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9400" t="17206" r="16049" b="11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3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682" w:rsidRPr="00B63682" w:rsidRDefault="00B63682" w:rsidP="00B63682"/>
    <w:p w:rsidR="00B63682" w:rsidRPr="00B63682" w:rsidRDefault="00B63682" w:rsidP="00B63682"/>
    <w:p w:rsidR="00B63682" w:rsidRDefault="00B63682" w:rsidP="00B63682"/>
    <w:p w:rsidR="0090696A" w:rsidRDefault="00B63682" w:rsidP="00B63682">
      <w:pPr>
        <w:tabs>
          <w:tab w:val="left" w:pos="5044"/>
        </w:tabs>
      </w:pPr>
      <w:r>
        <w:tab/>
      </w:r>
    </w:p>
    <w:p w:rsidR="00B63682" w:rsidRDefault="00B63682" w:rsidP="00B63682">
      <w:pPr>
        <w:tabs>
          <w:tab w:val="left" w:pos="5044"/>
        </w:tabs>
      </w:pPr>
    </w:p>
    <w:p w:rsidR="00B63682" w:rsidRDefault="00B63682" w:rsidP="00B63682">
      <w:pPr>
        <w:tabs>
          <w:tab w:val="left" w:pos="5044"/>
        </w:tabs>
      </w:pPr>
    </w:p>
    <w:p w:rsidR="00B63682" w:rsidRDefault="00B63682" w:rsidP="00B63682">
      <w:pPr>
        <w:tabs>
          <w:tab w:val="left" w:pos="5044"/>
        </w:tabs>
      </w:pPr>
    </w:p>
    <w:p w:rsidR="00B63682" w:rsidRDefault="00B63682" w:rsidP="00B63682">
      <w:pPr>
        <w:tabs>
          <w:tab w:val="left" w:pos="5044"/>
        </w:tabs>
      </w:pPr>
    </w:p>
    <w:p w:rsidR="00B63682" w:rsidRDefault="00B63682" w:rsidP="00B63682">
      <w:pPr>
        <w:tabs>
          <w:tab w:val="left" w:pos="5044"/>
        </w:tabs>
      </w:pPr>
    </w:p>
    <w:p w:rsidR="00B63682" w:rsidRPr="00B63682" w:rsidRDefault="00B63682" w:rsidP="00B63682">
      <w:pPr>
        <w:tabs>
          <w:tab w:val="left" w:pos="5044"/>
        </w:tabs>
        <w:rPr>
          <w:sz w:val="52"/>
          <w:szCs w:val="52"/>
        </w:rPr>
      </w:pPr>
    </w:p>
    <w:p w:rsidR="00B63682" w:rsidRPr="00B63682" w:rsidRDefault="00B63682" w:rsidP="00B63682">
      <w:pPr>
        <w:tabs>
          <w:tab w:val="left" w:pos="5044"/>
        </w:tabs>
        <w:rPr>
          <w:sz w:val="52"/>
          <w:szCs w:val="52"/>
        </w:rPr>
      </w:pPr>
      <w:r w:rsidRPr="00B63682">
        <w:rPr>
          <w:sz w:val="52"/>
          <w:szCs w:val="52"/>
        </w:rPr>
        <w:lastRenderedPageBreak/>
        <w:t>Fecha</w:t>
      </w:r>
      <w:r>
        <w:rPr>
          <w:sz w:val="52"/>
          <w:szCs w:val="52"/>
        </w:rPr>
        <w:t xml:space="preserve"> 12/ NOV</w:t>
      </w:r>
    </w:p>
    <w:p w:rsidR="00B63682" w:rsidRDefault="00B63682" w:rsidP="00B63682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52"/>
          <w:szCs w:val="52"/>
        </w:rPr>
      </w:pPr>
      <w:r w:rsidRPr="00B63682">
        <w:rPr>
          <w:b/>
          <w:sz w:val="52"/>
          <w:szCs w:val="52"/>
        </w:rPr>
        <w:t>TEMA</w:t>
      </w:r>
      <w:r>
        <w:rPr>
          <w:b/>
          <w:sz w:val="52"/>
          <w:szCs w:val="52"/>
        </w:rPr>
        <w:t xml:space="preserve"> 5</w:t>
      </w:r>
      <w:r w:rsidRPr="00B63682">
        <w:rPr>
          <w:b/>
          <w:sz w:val="52"/>
          <w:szCs w:val="52"/>
        </w:rPr>
        <w:t xml:space="preserve">: </w:t>
      </w:r>
      <w:r w:rsidRPr="00B63682">
        <w:rPr>
          <w:rFonts w:ascii="LubalinGraphStd-Demi" w:hAnsi="LubalinGraphStd-Demi" w:cs="LubalinGraphStd-Demi"/>
          <w:b/>
          <w:sz w:val="52"/>
          <w:szCs w:val="52"/>
        </w:rPr>
        <w:t>La rima de un poema</w:t>
      </w:r>
    </w:p>
    <w:p w:rsidR="00B63682" w:rsidRDefault="00B63682" w:rsidP="00B6368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El </w:t>
      </w:r>
      <w:r w:rsidRPr="00B63682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poema </w:t>
      </w: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>es una composición literaria que expresa ideas, emociones y sentimientos.</w:t>
      </w:r>
    </w:p>
    <w:p w:rsidR="00B63682" w:rsidRPr="00B63682" w:rsidRDefault="00B63682" w:rsidP="00B6368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B63682" w:rsidRDefault="00B63682" w:rsidP="00B6368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Se forma de varios renglones llamados </w:t>
      </w:r>
      <w:r w:rsidRPr="00B63682">
        <w:rPr>
          <w:rFonts w:ascii="ITCFranklinGothicStd-Demi" w:hAnsi="ITCFranklinGothicStd-Demi" w:cs="ITCFranklinGothicStd-Demi"/>
          <w:color w:val="FF0000"/>
          <w:sz w:val="36"/>
          <w:szCs w:val="36"/>
        </w:rPr>
        <w:t>versos</w:t>
      </w: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, los cuales forman </w:t>
      </w:r>
      <w:r w:rsidRPr="00B63682">
        <w:rPr>
          <w:rFonts w:ascii="ITCFranklinGothicStd-Demi" w:hAnsi="ITCFranklinGothicStd-Demi" w:cs="ITCFranklinGothicStd-Demi"/>
          <w:color w:val="FF0000"/>
          <w:sz w:val="36"/>
          <w:szCs w:val="36"/>
        </w:rPr>
        <w:t>estrofas</w:t>
      </w: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B63682" w:rsidRPr="00B63682" w:rsidRDefault="00B63682" w:rsidP="00B6368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B63682" w:rsidRDefault="00B63682" w:rsidP="00B6368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Muchos poemas tienen </w:t>
      </w:r>
      <w:r w:rsidRPr="00B63682">
        <w:rPr>
          <w:rFonts w:ascii="ITCFranklinGothicStd-Demi" w:hAnsi="ITCFranklinGothicStd-Demi" w:cs="ITCFranklinGothicStd-Demi"/>
          <w:color w:val="FF0000"/>
          <w:sz w:val="36"/>
          <w:szCs w:val="36"/>
        </w:rPr>
        <w:t>rima</w:t>
      </w: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, que es la semejanza de sonidos de las palabras finales de los versos, y puede ser </w:t>
      </w:r>
      <w:r w:rsidRPr="00B63682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consonante </w:t>
      </w: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o </w:t>
      </w:r>
      <w:r w:rsidRPr="00B63682">
        <w:rPr>
          <w:rFonts w:ascii="ITCFranklinGothicStd-Demi" w:hAnsi="ITCFranklinGothicStd-Demi" w:cs="ITCFranklinGothicStd-Demi"/>
          <w:color w:val="FF0000"/>
          <w:sz w:val="36"/>
          <w:szCs w:val="36"/>
        </w:rPr>
        <w:t>asonante</w:t>
      </w: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B63682" w:rsidRPr="00B63682" w:rsidRDefault="00B63682" w:rsidP="00B6368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B63682" w:rsidRPr="00B63682" w:rsidRDefault="00B63682" w:rsidP="00B6368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>La rima es consonante cuando los versos terminan con los mismos sonidos.</w:t>
      </w:r>
    </w:p>
    <w:p w:rsidR="00B63682" w:rsidRPr="00B63682" w:rsidRDefault="00B63682" w:rsidP="00B6368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</w:pP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Ejemplo: </w:t>
      </w:r>
      <w:r w:rsidRPr="00B63682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cab</w:t>
      </w:r>
      <w:r w:rsidRPr="00B63682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 xml:space="preserve">eza </w:t>
      </w: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– </w:t>
      </w:r>
      <w:r w:rsidRPr="00B63682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mal</w:t>
      </w:r>
      <w:r w:rsidRPr="00B63682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eza</w:t>
      </w: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   </w:t>
      </w:r>
      <w:r w:rsidRPr="00B63682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manz</w:t>
      </w:r>
      <w:r w:rsidRPr="00B63682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 xml:space="preserve">ana </w:t>
      </w: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– </w:t>
      </w:r>
      <w:r w:rsidRPr="00B63682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camp</w:t>
      </w:r>
      <w:r w:rsidRPr="00B63682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ana</w:t>
      </w:r>
    </w:p>
    <w:p w:rsidR="00B63682" w:rsidRPr="00B63682" w:rsidRDefault="00B63682" w:rsidP="00B6368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B63682" w:rsidRPr="00B63682" w:rsidRDefault="00B63682" w:rsidP="00B6368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La rima es asonante si sólo coinciden los sonidos de las vocales. </w:t>
      </w:r>
    </w:p>
    <w:p w:rsidR="00B63682" w:rsidRPr="00B63682" w:rsidRDefault="00B63682" w:rsidP="00B6368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Ejemplo: </w:t>
      </w:r>
      <w:r w:rsidRPr="00B63682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cab</w:t>
      </w:r>
      <w:r w:rsidRPr="00B63682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e</w:t>
      </w:r>
      <w:r w:rsidRPr="00B63682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z</w:t>
      </w:r>
      <w:r w:rsidRPr="00B63682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 xml:space="preserve">a </w:t>
      </w: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– </w:t>
      </w:r>
      <w:r w:rsidRPr="00B63682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n</w:t>
      </w:r>
      <w:r w:rsidRPr="00B63682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e</w:t>
      </w:r>
      <w:r w:rsidRPr="00B63682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gr</w:t>
      </w:r>
      <w:r w:rsidRPr="00B63682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a</w:t>
      </w: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     </w:t>
      </w:r>
      <w:r w:rsidRPr="00B63682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manz</w:t>
      </w:r>
      <w:r w:rsidRPr="00B63682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a</w:t>
      </w:r>
      <w:r w:rsidRPr="00B63682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n</w:t>
      </w:r>
      <w:r w:rsidRPr="00B63682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 xml:space="preserve">a </w:t>
      </w: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- </w:t>
      </w:r>
      <w:r w:rsidRPr="00B63682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bl</w:t>
      </w:r>
      <w:r w:rsidRPr="00B63682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a</w:t>
      </w:r>
      <w:r w:rsidRPr="00B63682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nc</w:t>
      </w:r>
      <w:r w:rsidRPr="00B63682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a</w:t>
      </w:r>
    </w:p>
    <w:p w:rsidR="00B63682" w:rsidRPr="00B63682" w:rsidRDefault="00B63682" w:rsidP="00B6368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>
        <w:rPr>
          <w:rFonts w:ascii="ITCFranklinGothicStd-Book" w:hAnsi="ITCFranklinGothicStd-Book" w:cs="ITCFranklinGothicStd-Book"/>
          <w:noProof/>
          <w:color w:val="000000"/>
          <w:sz w:val="36"/>
          <w:szCs w:val="36"/>
        </w:rPr>
        <w:drawing>
          <wp:inline distT="0" distB="0" distL="0" distR="0">
            <wp:extent cx="5070934" cy="3646088"/>
            <wp:effectExtent l="19050" t="0" r="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242" t="18760" r="23145" b="1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165" cy="364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682" w:rsidRPr="00B63682" w:rsidRDefault="00B63682" w:rsidP="00B63682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b/>
          <w:sz w:val="52"/>
          <w:szCs w:val="52"/>
        </w:rPr>
      </w:pPr>
    </w:p>
    <w:p w:rsidR="00393BBF" w:rsidRDefault="00393BBF" w:rsidP="00B63682">
      <w:pPr>
        <w:tabs>
          <w:tab w:val="left" w:pos="5044"/>
        </w:tabs>
      </w:pPr>
      <w:r>
        <w:rPr>
          <w:noProof/>
        </w:rPr>
        <w:drawing>
          <wp:inline distT="0" distB="0" distL="0" distR="0">
            <wp:extent cx="5224215" cy="3274936"/>
            <wp:effectExtent l="19050" t="0" r="0" b="0"/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690" t="15498" r="21987" b="2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215" cy="327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216" w:rsidRDefault="00393BBF" w:rsidP="00393BBF">
      <w:pPr>
        <w:jc w:val="center"/>
      </w:pPr>
      <w:r>
        <w:rPr>
          <w:noProof/>
        </w:rPr>
        <w:drawing>
          <wp:inline distT="0" distB="0" distL="0" distR="0">
            <wp:extent cx="5262503" cy="3933825"/>
            <wp:effectExtent l="19050" t="0" r="0" b="0"/>
            <wp:docPr id="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592" t="16803" r="24632" b="21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051" cy="393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682" w:rsidRDefault="00EF6216" w:rsidP="00EF6216">
      <w:pPr>
        <w:tabs>
          <w:tab w:val="left" w:pos="5203"/>
        </w:tabs>
      </w:pPr>
      <w:r>
        <w:tab/>
      </w:r>
    </w:p>
    <w:p w:rsidR="00EF6216" w:rsidRDefault="00EF6216" w:rsidP="00EF6216">
      <w:pPr>
        <w:tabs>
          <w:tab w:val="left" w:pos="5203"/>
        </w:tabs>
      </w:pPr>
    </w:p>
    <w:p w:rsidR="00EF6216" w:rsidRDefault="00EF6216" w:rsidP="00EF6216">
      <w:pPr>
        <w:tabs>
          <w:tab w:val="left" w:pos="5203"/>
        </w:tabs>
      </w:pPr>
    </w:p>
    <w:p w:rsidR="00EF6216" w:rsidRDefault="00EF6216" w:rsidP="00EF6216">
      <w:pPr>
        <w:tabs>
          <w:tab w:val="left" w:pos="5203"/>
        </w:tabs>
      </w:pPr>
    </w:p>
    <w:p w:rsidR="00EF6216" w:rsidRPr="00EF6216" w:rsidRDefault="00EF6216" w:rsidP="00EF6216">
      <w:pPr>
        <w:tabs>
          <w:tab w:val="left" w:pos="5203"/>
        </w:tabs>
        <w:rPr>
          <w:b/>
          <w:sz w:val="44"/>
          <w:szCs w:val="44"/>
        </w:rPr>
      </w:pPr>
      <w:r w:rsidRPr="00EF6216">
        <w:rPr>
          <w:b/>
          <w:sz w:val="44"/>
          <w:szCs w:val="44"/>
        </w:rPr>
        <w:lastRenderedPageBreak/>
        <w:t xml:space="preserve">FECHA </w:t>
      </w:r>
    </w:p>
    <w:p w:rsidR="00EF6216" w:rsidRDefault="00EF6216" w:rsidP="00EF6216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52"/>
          <w:szCs w:val="52"/>
        </w:rPr>
      </w:pPr>
      <w:r w:rsidRPr="00EF6216">
        <w:rPr>
          <w:b/>
          <w:sz w:val="52"/>
          <w:szCs w:val="52"/>
        </w:rPr>
        <w:t xml:space="preserve">Tema 6: </w:t>
      </w:r>
      <w:r w:rsidRPr="00EF6216">
        <w:rPr>
          <w:rFonts w:ascii="LubalinGraphStd-Demi" w:hAnsi="LubalinGraphStd-Demi" w:cs="LubalinGraphStd-Demi"/>
          <w:b/>
          <w:sz w:val="52"/>
          <w:szCs w:val="52"/>
        </w:rPr>
        <w:t>Recursos literarios</w:t>
      </w:r>
    </w:p>
    <w:p w:rsidR="00EF6216" w:rsidRDefault="00EF6216" w:rsidP="00EF6216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El </w:t>
      </w:r>
      <w:r w:rsidRPr="00EF6216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símil </w:t>
      </w: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o </w:t>
      </w:r>
      <w:r w:rsidRPr="00EF6216">
        <w:rPr>
          <w:rFonts w:ascii="ITCFranklinGothicStd-Demi" w:hAnsi="ITCFranklinGothicStd-Demi" w:cs="ITCFranklinGothicStd-Demi"/>
          <w:color w:val="FF0000"/>
          <w:sz w:val="36"/>
          <w:szCs w:val="36"/>
        </w:rPr>
        <w:t>comparación</w:t>
      </w: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, la </w:t>
      </w:r>
      <w:r w:rsidRPr="00EF6216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onomatopeya </w:t>
      </w: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y la </w:t>
      </w:r>
      <w:r w:rsidRPr="00EF6216">
        <w:rPr>
          <w:rFonts w:ascii="ITCFranklinGothicStd-Demi" w:hAnsi="ITCFranklinGothicStd-Demi" w:cs="ITCFranklinGothicStd-Demi"/>
          <w:color w:val="FF0000"/>
          <w:sz w:val="36"/>
          <w:szCs w:val="36"/>
        </w:rPr>
        <w:t>aliteración</w:t>
      </w: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son algunos </w:t>
      </w:r>
      <w:r w:rsidRPr="00EF6216">
        <w:rPr>
          <w:rFonts w:ascii="ITCFranklinGothicStd-Demi" w:hAnsi="ITCFranklinGothicStd-Demi" w:cs="ITCFranklinGothicStd-Demi"/>
          <w:color w:val="FF0000"/>
          <w:sz w:val="36"/>
          <w:szCs w:val="36"/>
        </w:rPr>
        <w:t>recursos</w:t>
      </w: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</w:t>
      </w:r>
      <w:r w:rsidRPr="00EF6216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literarios </w:t>
      </w: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>que los poetas usan para expresar sentimientos.</w:t>
      </w:r>
    </w:p>
    <w:p w:rsidR="00EF6216" w:rsidRPr="00EF6216" w:rsidRDefault="00EF6216" w:rsidP="00EF6216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EF6216" w:rsidRPr="00EF6216" w:rsidRDefault="00EF6216" w:rsidP="00EF6216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El símil es la comparación entre dos o más elementos a partir de cualidades semejantes. Ejemplo: </w:t>
      </w:r>
      <w:r w:rsidRPr="00EF6216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Tu</w:t>
      </w: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</w:t>
      </w:r>
      <w:r w:rsidRPr="00EF6216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 xml:space="preserve">sonrisa es </w:t>
      </w:r>
      <w:r w:rsidRPr="00EF6216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 xml:space="preserve">como </w:t>
      </w:r>
      <w:r w:rsidRPr="00EF6216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una cascada</w:t>
      </w: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</w:t>
      </w:r>
      <w:r w:rsidRPr="00EF6216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de estrellas</w:t>
      </w: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EF6216" w:rsidRDefault="00EF6216" w:rsidP="00EF6216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b/>
          <w:sz w:val="52"/>
          <w:szCs w:val="52"/>
        </w:rPr>
      </w:pPr>
    </w:p>
    <w:p w:rsidR="00EF6216" w:rsidRPr="00EF6216" w:rsidRDefault="00EF6216" w:rsidP="00EF6216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>La onomatopeya es la imitación escrita de sonidos.</w:t>
      </w:r>
    </w:p>
    <w:p w:rsidR="00EF6216" w:rsidRPr="00EF6216" w:rsidRDefault="00EF6216" w:rsidP="00EF6216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Ejemplo: </w:t>
      </w:r>
      <w:r w:rsidRPr="00EF6216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El tren</w:t>
      </w: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, </w:t>
      </w:r>
      <w:r w:rsidRPr="00EF6216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pu</w:t>
      </w: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, </w:t>
      </w:r>
      <w:r w:rsidRPr="00EF6216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pu</w:t>
      </w: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, </w:t>
      </w:r>
      <w:r w:rsidRPr="00EF6216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pu</w:t>
      </w: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, </w:t>
      </w:r>
      <w:r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 xml:space="preserve">nos llamaba desde </w:t>
      </w:r>
      <w:r w:rsidRPr="00EF6216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lejos</w:t>
      </w: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EF6216" w:rsidRPr="00EF6216" w:rsidRDefault="00EF6216" w:rsidP="00EF6216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La aliteración es la repetición de un sonido en diferentes palabras. </w:t>
      </w:r>
    </w:p>
    <w:p w:rsidR="00EF6216" w:rsidRPr="00EF6216" w:rsidRDefault="00EF6216" w:rsidP="00EF6216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Ejemplo: </w:t>
      </w:r>
      <w:r w:rsidRPr="00EF6216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R</w:t>
      </w:r>
      <w:r w:rsidRPr="00EF6216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ápido co</w:t>
      </w:r>
      <w:r w:rsidRPr="00EF6216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rr</w:t>
      </w:r>
      <w:r w:rsidRPr="00EF6216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en los ca</w:t>
      </w:r>
      <w:r w:rsidRPr="00EF6216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rr</w:t>
      </w:r>
      <w:r w:rsidRPr="00EF6216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os del</w:t>
      </w: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</w:t>
      </w:r>
      <w:r w:rsidRPr="00EF6216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fe</w:t>
      </w:r>
      <w:r w:rsidRPr="00EF6216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rr</w:t>
      </w:r>
      <w:r w:rsidRPr="00EF6216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oca</w:t>
      </w:r>
      <w:r w:rsidRPr="00EF6216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rr</w:t>
      </w:r>
      <w:r w:rsidRPr="00EF6216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il</w:t>
      </w: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EF6216" w:rsidRPr="00EF6216" w:rsidRDefault="00CD41B0" w:rsidP="00EF6216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b/>
          <w:sz w:val="52"/>
          <w:szCs w:val="52"/>
        </w:rPr>
      </w:pPr>
      <w:r>
        <w:rPr>
          <w:rFonts w:ascii="LubalinGraphStd-Demi" w:hAnsi="LubalinGraphStd-Demi" w:cs="LubalinGraphStd-Demi"/>
          <w:b/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243840</wp:posOffset>
            </wp:positionV>
            <wp:extent cx="5399405" cy="2226945"/>
            <wp:effectExtent l="19050" t="0" r="0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22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1B0" w:rsidRDefault="00EF6216" w:rsidP="00EF6216">
      <w:pPr>
        <w:tabs>
          <w:tab w:val="left" w:pos="5203"/>
        </w:tabs>
        <w:rPr>
          <w:b/>
          <w:sz w:val="44"/>
          <w:szCs w:val="44"/>
        </w:rPr>
      </w:pPr>
      <w:r w:rsidRPr="00EF6216">
        <w:rPr>
          <w:b/>
          <w:sz w:val="44"/>
          <w:szCs w:val="44"/>
        </w:rPr>
        <w:t xml:space="preserve"> </w:t>
      </w:r>
    </w:p>
    <w:p w:rsidR="00CD41B0" w:rsidRPr="00CD41B0" w:rsidRDefault="00CD41B0" w:rsidP="00CD41B0">
      <w:pPr>
        <w:rPr>
          <w:sz w:val="44"/>
          <w:szCs w:val="44"/>
        </w:rPr>
      </w:pPr>
    </w:p>
    <w:p w:rsidR="00CD41B0" w:rsidRPr="00CD41B0" w:rsidRDefault="00CD41B0" w:rsidP="00CD41B0">
      <w:pPr>
        <w:rPr>
          <w:sz w:val="44"/>
          <w:szCs w:val="44"/>
        </w:rPr>
      </w:pPr>
    </w:p>
    <w:p w:rsidR="00CD41B0" w:rsidRDefault="00CD41B0" w:rsidP="00CD41B0">
      <w:pPr>
        <w:rPr>
          <w:sz w:val="44"/>
          <w:szCs w:val="44"/>
        </w:rPr>
      </w:pPr>
    </w:p>
    <w:p w:rsidR="00EF6216" w:rsidRDefault="00EF6216" w:rsidP="00CD41B0">
      <w:pPr>
        <w:jc w:val="center"/>
        <w:rPr>
          <w:sz w:val="44"/>
          <w:szCs w:val="44"/>
        </w:rPr>
      </w:pPr>
    </w:p>
    <w:p w:rsidR="00CD41B0" w:rsidRDefault="00CD41B0" w:rsidP="00CD41B0">
      <w:pPr>
        <w:jc w:val="center"/>
        <w:rPr>
          <w:sz w:val="44"/>
          <w:szCs w:val="44"/>
        </w:rPr>
      </w:pPr>
    </w:p>
    <w:p w:rsidR="00CD41B0" w:rsidRDefault="00CD41B0" w:rsidP="00CD41B0">
      <w:pPr>
        <w:jc w:val="center"/>
        <w:rPr>
          <w:sz w:val="44"/>
          <w:szCs w:val="44"/>
        </w:rPr>
      </w:pPr>
    </w:p>
    <w:p w:rsidR="00CD41B0" w:rsidRDefault="00CD41B0" w:rsidP="00CD41B0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400040" cy="1735915"/>
            <wp:effectExtent l="19050" t="0" r="0" b="0"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3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1B0" w:rsidRDefault="00CD41B0" w:rsidP="00CD41B0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400040" cy="965572"/>
            <wp:effectExtent l="19050" t="0" r="0" b="0"/>
            <wp:docPr id="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B8D" w:rsidRDefault="00CD41B0" w:rsidP="00CD41B0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400040" cy="2048506"/>
            <wp:effectExtent l="19050" t="0" r="0" b="0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4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B8D" w:rsidRDefault="003B0B8D" w:rsidP="003B0B8D">
      <w:pPr>
        <w:rPr>
          <w:sz w:val="44"/>
          <w:szCs w:val="44"/>
        </w:rPr>
      </w:pPr>
    </w:p>
    <w:p w:rsidR="00CD41B0" w:rsidRDefault="003B0B8D" w:rsidP="003B0B8D">
      <w:pPr>
        <w:tabs>
          <w:tab w:val="left" w:pos="3646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3B0B8D" w:rsidRDefault="003B0B8D" w:rsidP="003B0B8D">
      <w:pPr>
        <w:tabs>
          <w:tab w:val="left" w:pos="3646"/>
        </w:tabs>
        <w:rPr>
          <w:sz w:val="44"/>
          <w:szCs w:val="44"/>
        </w:rPr>
      </w:pPr>
    </w:p>
    <w:p w:rsidR="003B0B8D" w:rsidRDefault="003B0B8D" w:rsidP="003B0B8D">
      <w:pPr>
        <w:tabs>
          <w:tab w:val="left" w:pos="3646"/>
        </w:tabs>
        <w:rPr>
          <w:sz w:val="44"/>
          <w:szCs w:val="44"/>
        </w:rPr>
      </w:pPr>
    </w:p>
    <w:p w:rsidR="003B0B8D" w:rsidRDefault="003B0B8D" w:rsidP="003B0B8D">
      <w:pPr>
        <w:tabs>
          <w:tab w:val="left" w:pos="3646"/>
        </w:tabs>
        <w:rPr>
          <w:sz w:val="44"/>
          <w:szCs w:val="44"/>
        </w:rPr>
      </w:pPr>
    </w:p>
    <w:p w:rsidR="003B0B8D" w:rsidRDefault="003B0B8D" w:rsidP="003B0B8D">
      <w:pPr>
        <w:tabs>
          <w:tab w:val="left" w:pos="3646"/>
        </w:tabs>
        <w:rPr>
          <w:sz w:val="44"/>
          <w:szCs w:val="44"/>
        </w:rPr>
      </w:pPr>
    </w:p>
    <w:p w:rsidR="003B0B8D" w:rsidRDefault="003B0B8D" w:rsidP="003B0B8D">
      <w:pPr>
        <w:tabs>
          <w:tab w:val="left" w:pos="3646"/>
        </w:tabs>
        <w:rPr>
          <w:sz w:val="44"/>
          <w:szCs w:val="44"/>
        </w:rPr>
      </w:pPr>
    </w:p>
    <w:p w:rsidR="003B0B8D" w:rsidRDefault="003B0B8D" w:rsidP="003B0B8D">
      <w:pPr>
        <w:tabs>
          <w:tab w:val="left" w:pos="3646"/>
        </w:tabs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Fecha </w:t>
      </w:r>
    </w:p>
    <w:p w:rsidR="003B0B8D" w:rsidRPr="003B0B8D" w:rsidRDefault="003B0B8D" w:rsidP="003B0B8D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48"/>
          <w:szCs w:val="48"/>
        </w:rPr>
      </w:pPr>
      <w:r w:rsidRPr="003B0B8D">
        <w:rPr>
          <w:b/>
          <w:sz w:val="44"/>
          <w:szCs w:val="44"/>
        </w:rPr>
        <w:t xml:space="preserve">TEMA 7: </w:t>
      </w:r>
      <w:r w:rsidRPr="003B0B8D">
        <w:rPr>
          <w:rFonts w:ascii="LubalinGraphStd-Demi" w:hAnsi="LubalinGraphStd-Demi" w:cs="LubalinGraphStd-Demi"/>
          <w:b/>
          <w:sz w:val="48"/>
          <w:szCs w:val="48"/>
        </w:rPr>
        <w:t>Significados literal y figurado</w:t>
      </w:r>
    </w:p>
    <w:p w:rsidR="003B0B8D" w:rsidRDefault="003B0B8D" w:rsidP="003B0B8D">
      <w:pPr>
        <w:tabs>
          <w:tab w:val="left" w:pos="3646"/>
        </w:tabs>
        <w:rPr>
          <w:sz w:val="44"/>
          <w:szCs w:val="44"/>
        </w:rPr>
      </w:pPr>
    </w:p>
    <w:p w:rsidR="00EF64A9" w:rsidRDefault="00EF64A9" w:rsidP="00EF64A9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EF64A9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En un texto, las palabras se pueden emplear con un significado </w:t>
      </w:r>
      <w:r w:rsidRPr="00EF64A9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literal </w:t>
      </w:r>
      <w:r w:rsidRPr="00EF64A9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o con un significado </w:t>
      </w:r>
      <w:r w:rsidRPr="00EF64A9">
        <w:rPr>
          <w:rFonts w:ascii="ITCFranklinGothicStd-Demi" w:hAnsi="ITCFranklinGothicStd-Demi" w:cs="ITCFranklinGothicStd-Demi"/>
          <w:color w:val="FF0000"/>
          <w:sz w:val="36"/>
          <w:szCs w:val="36"/>
        </w:rPr>
        <w:t>literario</w:t>
      </w:r>
      <w:r w:rsidRPr="00EF64A9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, también llamado significado </w:t>
      </w:r>
      <w:r w:rsidRPr="00EF64A9">
        <w:rPr>
          <w:rFonts w:ascii="ITCFranklinGothicStd-Demi" w:hAnsi="ITCFranklinGothicStd-Demi" w:cs="ITCFranklinGothicStd-Demi"/>
          <w:color w:val="FF0000"/>
          <w:sz w:val="36"/>
          <w:szCs w:val="36"/>
        </w:rPr>
        <w:t>figurado</w:t>
      </w:r>
      <w:r w:rsidRPr="00EF64A9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EF64A9" w:rsidRPr="00EF64A9" w:rsidRDefault="00EF64A9" w:rsidP="00EF64A9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EF64A9" w:rsidRDefault="00EF64A9" w:rsidP="00EF64A9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EF64A9">
        <w:rPr>
          <w:rFonts w:ascii="ITCFranklinGothicStd-Book" w:hAnsi="ITCFranklinGothicStd-Book" w:cs="ITCFranklinGothicStd-Book"/>
          <w:color w:val="000000"/>
          <w:sz w:val="36"/>
          <w:szCs w:val="36"/>
        </w:rPr>
        <w:t>Usamos el significado literal cuando mencionamos un hecho o un objeto de manera clara y directa, de modo que todos entiendan</w:t>
      </w:r>
      <w:r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</w:t>
      </w:r>
      <w:r w:rsidRPr="00EF64A9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lo mismo. Ejemplo: </w:t>
      </w:r>
      <w:r w:rsidRPr="00EF64A9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 xml:space="preserve">Sus </w:t>
      </w:r>
      <w:r w:rsidRPr="00EF64A9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ojos</w:t>
      </w:r>
      <w:r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 xml:space="preserve"> </w:t>
      </w:r>
      <w:r w:rsidRPr="00EF64A9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 xml:space="preserve">son de </w:t>
      </w:r>
      <w:r w:rsidRPr="00EF64A9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color café</w:t>
      </w:r>
      <w:r w:rsidRPr="00EF64A9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EF64A9" w:rsidRDefault="00EF64A9" w:rsidP="00EF64A9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EF64A9" w:rsidRDefault="00EF64A9" w:rsidP="00EF64A9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EF64A9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En cambio, utilizamos el significado figurado cuando nos referimos a un hecho o un objeto empleando palabras cuyo sentido no es el que les corresponde originalmente. Ejemplo: </w:t>
      </w:r>
      <w:r w:rsidRPr="00EF64A9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 xml:space="preserve">Sus </w:t>
      </w:r>
      <w:r w:rsidRPr="00EF64A9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 xml:space="preserve">ojos </w:t>
      </w:r>
      <w:r w:rsidRPr="00EF64A9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 xml:space="preserve">son dos </w:t>
      </w:r>
      <w:r w:rsidRPr="00EF64A9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estrellas</w:t>
      </w:r>
      <w:r w:rsidRPr="00EF64A9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</w:t>
      </w:r>
      <w:r w:rsidRPr="00EF64A9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brillantes</w:t>
      </w:r>
      <w:r w:rsidRPr="00EF64A9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EF64A9" w:rsidRDefault="00EF64A9" w:rsidP="00EF64A9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EF64A9" w:rsidRPr="00EF64A9" w:rsidRDefault="00EF64A9" w:rsidP="00EF64A9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>
        <w:rPr>
          <w:rFonts w:ascii="ITCFranklinGothicStd-Book" w:hAnsi="ITCFranklinGothicStd-Book" w:cs="ITCFranklinGothicStd-Book"/>
          <w:noProof/>
          <w:color w:val="000000"/>
          <w:sz w:val="36"/>
          <w:szCs w:val="36"/>
        </w:rPr>
        <w:drawing>
          <wp:inline distT="0" distB="0" distL="0" distR="0">
            <wp:extent cx="5118504" cy="3723820"/>
            <wp:effectExtent l="19050" t="0" r="5946" b="0"/>
            <wp:docPr id="1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0990" t="14519" r="19877" b="13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504" cy="37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8AA" w:rsidRPr="006E68AA" w:rsidRDefault="006E68AA" w:rsidP="006E68A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52"/>
          <w:szCs w:val="52"/>
        </w:rPr>
      </w:pPr>
      <w:r w:rsidRPr="006E68AA">
        <w:rPr>
          <w:rFonts w:ascii="Arial" w:hAnsi="Arial" w:cs="Arial"/>
          <w:iCs/>
          <w:sz w:val="52"/>
          <w:szCs w:val="52"/>
        </w:rPr>
        <w:lastRenderedPageBreak/>
        <w:t xml:space="preserve">TEMA 8: </w:t>
      </w:r>
      <w:r w:rsidRPr="006E68AA">
        <w:rPr>
          <w:rFonts w:ascii="Arial" w:hAnsi="Arial" w:cs="Arial"/>
          <w:sz w:val="52"/>
          <w:szCs w:val="52"/>
        </w:rPr>
        <w:t>Característica y función</w:t>
      </w:r>
    </w:p>
    <w:p w:rsidR="006E68AA" w:rsidRDefault="006E68AA" w:rsidP="006E68A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52"/>
          <w:szCs w:val="52"/>
        </w:rPr>
      </w:pPr>
      <w:r w:rsidRPr="006E68AA">
        <w:rPr>
          <w:rFonts w:ascii="Arial" w:hAnsi="Arial" w:cs="Arial"/>
          <w:sz w:val="52"/>
          <w:szCs w:val="52"/>
        </w:rPr>
        <w:t>de los textos narrativos</w:t>
      </w:r>
    </w:p>
    <w:p w:rsidR="006E68AA" w:rsidRDefault="006E68AA" w:rsidP="006E68A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52"/>
          <w:szCs w:val="52"/>
        </w:rPr>
      </w:pPr>
    </w:p>
    <w:p w:rsidR="006E68AA" w:rsidRPr="006E68AA" w:rsidRDefault="006E68AA" w:rsidP="006E68AA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6E68AA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Los </w:t>
      </w:r>
      <w:r w:rsidRPr="006E68AA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textos narrativos </w:t>
      </w:r>
      <w:r w:rsidRPr="006E68AA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tienen como finalidad </w:t>
      </w:r>
      <w:r w:rsidRPr="006E68AA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narrar </w:t>
      </w:r>
      <w:r w:rsidRPr="006E68AA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o contar </w:t>
      </w:r>
      <w:r w:rsidRPr="006E68AA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acontecimientos </w:t>
      </w:r>
      <w:r w:rsidRPr="006E68AA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en los que intervienen </w:t>
      </w:r>
      <w:r w:rsidRPr="006E68AA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personajes </w:t>
      </w:r>
      <w:r w:rsidRPr="006E68AA">
        <w:rPr>
          <w:rFonts w:ascii="ITCFranklinGothicStd-Book" w:hAnsi="ITCFranklinGothicStd-Book" w:cs="ITCFranklinGothicStd-Book"/>
          <w:color w:val="000000"/>
          <w:sz w:val="36"/>
          <w:szCs w:val="36"/>
        </w:rPr>
        <w:t>reales o imaginarios.</w:t>
      </w:r>
    </w:p>
    <w:p w:rsidR="006E68AA" w:rsidRPr="006E68AA" w:rsidRDefault="006E68AA" w:rsidP="006E68AA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6E68AA" w:rsidRPr="006E68AA" w:rsidRDefault="006E68AA" w:rsidP="006E68AA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6E68AA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Los hechos o acontecimientos que componen el texto narrativo se desarrollan en un </w:t>
      </w:r>
      <w:r w:rsidRPr="006E68AA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lugar </w:t>
      </w:r>
      <w:r w:rsidRPr="006E68AA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y un </w:t>
      </w:r>
      <w:r w:rsidRPr="006E68AA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tiempo </w:t>
      </w:r>
      <w:r w:rsidRPr="006E68AA">
        <w:rPr>
          <w:rFonts w:ascii="ITCFranklinGothicStd-Book" w:hAnsi="ITCFranklinGothicStd-Book" w:cs="ITCFranklinGothicStd-Book"/>
          <w:color w:val="000000"/>
          <w:sz w:val="36"/>
          <w:szCs w:val="36"/>
        </w:rPr>
        <w:t>determinados.</w:t>
      </w:r>
    </w:p>
    <w:p w:rsidR="006E68AA" w:rsidRPr="006E68AA" w:rsidRDefault="006E68AA" w:rsidP="006E68AA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6E68AA" w:rsidRPr="006E68AA" w:rsidRDefault="006E68AA" w:rsidP="006E68AA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6E68AA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Las biografías, los cuentos, las noticias son textos narrativos.</w:t>
      </w:r>
    </w:p>
    <w:p w:rsidR="006E68AA" w:rsidRDefault="006E68AA" w:rsidP="006E68AA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20"/>
          <w:szCs w:val="20"/>
        </w:rPr>
      </w:pPr>
    </w:p>
    <w:p w:rsidR="006E68AA" w:rsidRDefault="006E68AA" w:rsidP="006E68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</w:rPr>
        <w:drawing>
          <wp:inline distT="0" distB="0" distL="0" distR="0">
            <wp:extent cx="5264590" cy="2430855"/>
            <wp:effectExtent l="19050" t="0" r="0" b="0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590" cy="243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8AA" w:rsidRPr="006E68AA" w:rsidRDefault="006E68AA" w:rsidP="006E68A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52"/>
          <w:szCs w:val="52"/>
        </w:rPr>
      </w:pPr>
    </w:p>
    <w:p w:rsidR="00EF64A9" w:rsidRPr="006E68AA" w:rsidRDefault="00EF64A9" w:rsidP="00EF64A9">
      <w:pPr>
        <w:autoSpaceDE w:val="0"/>
        <w:autoSpaceDN w:val="0"/>
        <w:adjustRightInd w:val="0"/>
        <w:spacing w:after="0" w:line="240" w:lineRule="auto"/>
        <w:rPr>
          <w:rFonts w:ascii="ITCFranklinGothicStd-DemiIt" w:hAnsi="ITCFranklinGothicStd-DemiIt" w:cs="ITCFranklinGothicStd-DemiIt"/>
          <w:b/>
          <w:iCs/>
          <w:sz w:val="36"/>
          <w:szCs w:val="36"/>
        </w:rPr>
      </w:pPr>
    </w:p>
    <w:p w:rsidR="00EF64A9" w:rsidRDefault="0057790D" w:rsidP="0057790D">
      <w:pPr>
        <w:tabs>
          <w:tab w:val="left" w:pos="1383"/>
        </w:tabs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>
        <w:rPr>
          <w:rFonts w:ascii="ITCFranklinGothicStd-Book" w:hAnsi="ITCFranklinGothicStd-Book" w:cs="ITCFranklinGothicStd-Book"/>
          <w:color w:val="000000"/>
          <w:sz w:val="36"/>
          <w:szCs w:val="36"/>
        </w:rPr>
        <w:tab/>
      </w:r>
    </w:p>
    <w:p w:rsidR="0057790D" w:rsidRDefault="0057790D" w:rsidP="0057790D">
      <w:pPr>
        <w:tabs>
          <w:tab w:val="left" w:pos="1383"/>
        </w:tabs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57790D" w:rsidRDefault="0057790D" w:rsidP="0057790D">
      <w:pPr>
        <w:tabs>
          <w:tab w:val="left" w:pos="1383"/>
        </w:tabs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57790D" w:rsidRDefault="0057790D" w:rsidP="0057790D">
      <w:pPr>
        <w:tabs>
          <w:tab w:val="left" w:pos="1383"/>
        </w:tabs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57790D" w:rsidRDefault="0057790D" w:rsidP="0057790D">
      <w:pPr>
        <w:tabs>
          <w:tab w:val="left" w:pos="1383"/>
        </w:tabs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57790D" w:rsidRDefault="0057790D" w:rsidP="0057790D">
      <w:pPr>
        <w:tabs>
          <w:tab w:val="left" w:pos="1383"/>
        </w:tabs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57790D" w:rsidRDefault="0057790D" w:rsidP="0057790D">
      <w:pPr>
        <w:tabs>
          <w:tab w:val="left" w:pos="1383"/>
        </w:tabs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57790D" w:rsidRDefault="0057790D" w:rsidP="0057790D">
      <w:pPr>
        <w:tabs>
          <w:tab w:val="left" w:pos="1383"/>
        </w:tabs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57790D" w:rsidRPr="0057790D" w:rsidRDefault="0057790D" w:rsidP="0057790D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48"/>
          <w:szCs w:val="48"/>
        </w:rPr>
      </w:pPr>
      <w:r w:rsidRPr="0057790D">
        <w:rPr>
          <w:rFonts w:ascii="ITCFranklinGothicStd-Book" w:hAnsi="ITCFranklinGothicStd-Book" w:cs="ITCFranklinGothicStd-Book"/>
          <w:b/>
          <w:color w:val="000000"/>
          <w:sz w:val="36"/>
          <w:szCs w:val="36"/>
        </w:rPr>
        <w:lastRenderedPageBreak/>
        <w:t xml:space="preserve">TEMA 9: </w:t>
      </w:r>
      <w:r w:rsidRPr="0057790D">
        <w:rPr>
          <w:rFonts w:ascii="LubalinGraphStd-Demi" w:hAnsi="LubalinGraphStd-Demi" w:cs="LubalinGraphStd-Demi"/>
          <w:b/>
          <w:sz w:val="48"/>
          <w:szCs w:val="48"/>
        </w:rPr>
        <w:t>Historia personal</w:t>
      </w:r>
    </w:p>
    <w:p w:rsidR="0057790D" w:rsidRDefault="0057790D" w:rsidP="0057790D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48"/>
          <w:szCs w:val="48"/>
        </w:rPr>
      </w:pPr>
    </w:p>
    <w:p w:rsidR="0057790D" w:rsidRPr="0057790D" w:rsidRDefault="0057790D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57790D">
        <w:rPr>
          <w:rFonts w:ascii="ITCFranklinGothicStd-Book" w:hAnsi="ITCFranklinGothicStd-Book" w:cs="ITCFranklinGothicStd-Book"/>
          <w:color w:val="000000"/>
          <w:sz w:val="36"/>
          <w:szCs w:val="36"/>
        </w:rPr>
        <w:t>Para conocer la historia de tu nacimiento puedes recurrir a varias fuentes.</w:t>
      </w:r>
    </w:p>
    <w:p w:rsidR="0057790D" w:rsidRPr="0057790D" w:rsidRDefault="0057790D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57790D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En tu acta de nacimiento aparecen datos </w:t>
      </w:r>
      <w:r w:rsidRPr="0057790D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verídicos </w:t>
      </w:r>
      <w:r w:rsidRPr="0057790D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y </w:t>
      </w:r>
      <w:r w:rsidRPr="0057790D">
        <w:rPr>
          <w:rFonts w:ascii="ITCFranklinGothicStd-Demi" w:hAnsi="ITCFranklinGothicStd-Demi" w:cs="ITCFranklinGothicStd-Demi"/>
          <w:color w:val="FF0000"/>
          <w:sz w:val="36"/>
          <w:szCs w:val="36"/>
        </w:rPr>
        <w:t>confiables</w:t>
      </w:r>
      <w:r w:rsidRPr="0057790D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  <w:r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</w:t>
      </w:r>
      <w:r w:rsidRPr="0057790D">
        <w:rPr>
          <w:rFonts w:ascii="ITCFranklinGothicStd-Book" w:hAnsi="ITCFranklinGothicStd-Book" w:cs="ITCFranklinGothicStd-Book"/>
          <w:color w:val="000000"/>
          <w:sz w:val="36"/>
          <w:szCs w:val="36"/>
        </w:rPr>
        <w:t>También puedes preguntar a tus familiares.</w:t>
      </w:r>
    </w:p>
    <w:p w:rsidR="0057790D" w:rsidRDefault="0057790D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LubalinGraphStd-Demi" w:hAnsi="LubalinGraphStd-Demi" w:cs="LubalinGraphStd-Demi"/>
          <w:sz w:val="20"/>
          <w:szCs w:val="20"/>
        </w:rPr>
      </w:pPr>
    </w:p>
    <w:p w:rsidR="0057790D" w:rsidRPr="0057790D" w:rsidRDefault="0057790D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57790D">
        <w:rPr>
          <w:rFonts w:ascii="ITCFranklinGothicStd-Book" w:hAnsi="ITCFranklinGothicStd-Book" w:cs="ITCFranklinGothicStd-Book"/>
          <w:color w:val="000000"/>
          <w:sz w:val="36"/>
          <w:szCs w:val="36"/>
        </w:rPr>
        <w:t>Para escribir adecuadamente debes ordenar las ideas y desarrollarlas en párrafos.</w:t>
      </w:r>
    </w:p>
    <w:p w:rsidR="0057790D" w:rsidRDefault="0057790D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57790D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Los párrafos se componen de una </w:t>
      </w:r>
      <w:r w:rsidRPr="0057790D">
        <w:rPr>
          <w:rFonts w:ascii="ITCFranklinGothicStd-Demi" w:hAnsi="ITCFranklinGothicStd-Demi" w:cs="ITCFranklinGothicStd-Demi"/>
          <w:color w:val="FF0000"/>
          <w:sz w:val="36"/>
          <w:szCs w:val="36"/>
        </w:rPr>
        <w:t>idea introductoria</w:t>
      </w:r>
      <w:r w:rsidRPr="0057790D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y dos o más </w:t>
      </w:r>
      <w:r w:rsidRPr="0057790D">
        <w:rPr>
          <w:rFonts w:ascii="ITCFranklinGothicStd-Demi" w:hAnsi="ITCFranklinGothicStd-Demi" w:cs="ITCFranklinGothicStd-Demi"/>
          <w:color w:val="FF0000"/>
          <w:sz w:val="36"/>
          <w:szCs w:val="36"/>
        </w:rPr>
        <w:t>ideas de apoyo</w:t>
      </w:r>
      <w:r w:rsidRPr="0057790D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3E2FF3" w:rsidRDefault="003E2FF3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3E2FF3" w:rsidRDefault="003E2FF3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3E2FF3" w:rsidRDefault="003E2FF3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3E2FF3" w:rsidRDefault="003E2FF3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3E2FF3" w:rsidRDefault="003E2FF3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3E2FF3" w:rsidRDefault="003E2FF3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3E2FF3" w:rsidRDefault="003E2FF3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3E2FF3" w:rsidRDefault="003E2FF3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3E2FF3" w:rsidRDefault="003E2FF3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3E2FF3" w:rsidRDefault="003E2FF3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3E2FF3" w:rsidRDefault="003E2FF3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3E2FF3" w:rsidRDefault="003E2FF3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3E2FF3" w:rsidRDefault="003E2FF3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3E2FF3" w:rsidRDefault="003E2FF3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3E2FF3" w:rsidRDefault="003E2FF3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3E2FF3" w:rsidRDefault="003E2FF3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3E2FF3" w:rsidRDefault="003E2FF3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3E2FF3" w:rsidRDefault="003E2FF3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3E2FF3" w:rsidRDefault="003E2FF3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3E2FF3" w:rsidRDefault="003E2FF3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3E2FF3" w:rsidRDefault="003E2FF3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3E2FF3" w:rsidRDefault="003E2FF3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3E2FF3" w:rsidRPr="003E2FF3" w:rsidRDefault="003E2FF3" w:rsidP="003E2FF3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48"/>
          <w:szCs w:val="48"/>
        </w:rPr>
      </w:pPr>
      <w:r w:rsidRPr="003E2FF3">
        <w:rPr>
          <w:rFonts w:ascii="ITCFranklinGothicStd-Book" w:hAnsi="ITCFranklinGothicStd-Book" w:cs="ITCFranklinGothicStd-Book"/>
          <w:b/>
          <w:color w:val="000000"/>
          <w:sz w:val="36"/>
          <w:szCs w:val="36"/>
        </w:rPr>
        <w:lastRenderedPageBreak/>
        <w:t xml:space="preserve">TEMA 10: </w:t>
      </w:r>
      <w:r w:rsidRPr="003E2FF3">
        <w:rPr>
          <w:rFonts w:ascii="LubalinGraphStd-Demi" w:hAnsi="LubalinGraphStd-Demi" w:cs="LubalinGraphStd-Demi"/>
          <w:b/>
          <w:sz w:val="48"/>
          <w:szCs w:val="48"/>
        </w:rPr>
        <w:t>Tiempos verbales para</w:t>
      </w:r>
    </w:p>
    <w:p w:rsidR="003E2FF3" w:rsidRDefault="003E2FF3" w:rsidP="003E2FF3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48"/>
          <w:szCs w:val="48"/>
        </w:rPr>
      </w:pPr>
      <w:r w:rsidRPr="003E2FF3">
        <w:rPr>
          <w:rFonts w:ascii="LubalinGraphStd-Demi" w:hAnsi="LubalinGraphStd-Demi" w:cs="LubalinGraphStd-Demi"/>
          <w:b/>
          <w:sz w:val="48"/>
          <w:szCs w:val="48"/>
        </w:rPr>
        <w:t>narrar sucesos</w:t>
      </w:r>
    </w:p>
    <w:p w:rsidR="003E2FF3" w:rsidRPr="003E2FF3" w:rsidRDefault="003E2FF3" w:rsidP="003E2FF3">
      <w:pPr>
        <w:autoSpaceDE w:val="0"/>
        <w:autoSpaceDN w:val="0"/>
        <w:adjustRightInd w:val="0"/>
        <w:spacing w:after="0" w:line="240" w:lineRule="auto"/>
        <w:jc w:val="both"/>
        <w:rPr>
          <w:rFonts w:ascii="LubalinGraphStd-Demi" w:hAnsi="LubalinGraphStd-Demi" w:cs="LubalinGraphStd-Demi"/>
          <w:b/>
          <w:sz w:val="36"/>
          <w:szCs w:val="36"/>
        </w:rPr>
      </w:pPr>
    </w:p>
    <w:p w:rsidR="003E2FF3" w:rsidRPr="003E2FF3" w:rsidRDefault="003E2FF3" w:rsidP="003E2FF3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3E2FF3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Cuando se narran sucesos que ocurrieron en el pasado, se utilizan verbos conjugados en </w:t>
      </w:r>
      <w:r w:rsidRPr="003E2FF3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pretérito </w:t>
      </w:r>
      <w:r w:rsidRPr="003E2FF3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o </w:t>
      </w:r>
      <w:r w:rsidRPr="003E2FF3">
        <w:rPr>
          <w:rFonts w:ascii="ITCFranklinGothicStd-Demi" w:hAnsi="ITCFranklinGothicStd-Demi" w:cs="ITCFranklinGothicStd-Demi"/>
          <w:color w:val="FF0000"/>
          <w:sz w:val="36"/>
          <w:szCs w:val="36"/>
        </w:rPr>
        <w:t>copretérito</w:t>
      </w:r>
      <w:r w:rsidRPr="003E2FF3">
        <w:rPr>
          <w:rFonts w:ascii="ITCFranklinGothicStd-Book" w:hAnsi="ITCFranklinGothicStd-Book" w:cs="ITCFranklinGothicStd-Book"/>
          <w:color w:val="000000"/>
          <w:sz w:val="36"/>
          <w:szCs w:val="36"/>
        </w:rPr>
        <w:t>; sin embargo, cuando en la narración se hace un comentario, se emplea el tiempo presente.</w:t>
      </w:r>
    </w:p>
    <w:p w:rsidR="003E2FF3" w:rsidRDefault="003E2FF3" w:rsidP="003E2FF3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3E2FF3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El pretérito indica </w:t>
      </w:r>
      <w:r w:rsidRPr="003E2FF3">
        <w:rPr>
          <w:rFonts w:ascii="ITCFranklinGothicStd-Demi" w:hAnsi="ITCFranklinGothicStd-Demi" w:cs="ITCFranklinGothicStd-Demi"/>
          <w:color w:val="FF0000"/>
          <w:sz w:val="36"/>
          <w:szCs w:val="36"/>
        </w:rPr>
        <w:t>acciones terminadas</w:t>
      </w:r>
      <w:r w:rsidRPr="003E2FF3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: Sofía </w:t>
      </w:r>
      <w:r w:rsidRPr="003E2FF3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 xml:space="preserve">bailó </w:t>
      </w:r>
      <w:r w:rsidRPr="003E2FF3">
        <w:rPr>
          <w:rFonts w:ascii="ITCFranklinGothicStd-Book" w:hAnsi="ITCFranklinGothicStd-Book" w:cs="ITCFranklinGothicStd-Book"/>
          <w:color w:val="000000"/>
          <w:sz w:val="36"/>
          <w:szCs w:val="36"/>
        </w:rPr>
        <w:t>en el</w:t>
      </w:r>
      <w:r w:rsidRPr="003E2FF3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 </w:t>
      </w:r>
      <w:r w:rsidRPr="003E2FF3">
        <w:rPr>
          <w:rFonts w:ascii="ITCFranklinGothicStd-Book" w:hAnsi="ITCFranklinGothicStd-Book" w:cs="ITCFranklinGothicStd-Book"/>
          <w:color w:val="000000"/>
          <w:sz w:val="36"/>
          <w:szCs w:val="36"/>
        </w:rPr>
        <w:t>festival.</w:t>
      </w:r>
    </w:p>
    <w:p w:rsidR="003E2FF3" w:rsidRDefault="003E2FF3" w:rsidP="003E2FF3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3E2FF3" w:rsidRPr="003E2FF3" w:rsidRDefault="003E2FF3" w:rsidP="003E2FF3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3E2FF3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El copretérito señala una </w:t>
      </w:r>
      <w:r w:rsidRPr="003E2FF3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acción inacabada </w:t>
      </w:r>
      <w:r w:rsidRPr="003E2FF3">
        <w:rPr>
          <w:rFonts w:ascii="ITCFranklinGothicStd-Book" w:hAnsi="ITCFranklinGothicStd-Book" w:cs="ITCFranklinGothicStd-Book"/>
          <w:color w:val="000000"/>
          <w:sz w:val="36"/>
          <w:szCs w:val="36"/>
        </w:rPr>
        <w:t>y</w:t>
      </w:r>
      <w:r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</w:t>
      </w:r>
      <w:r w:rsidRPr="003E2FF3">
        <w:rPr>
          <w:rFonts w:ascii="ITCFranklinGothicStd-Demi" w:hAnsi="ITCFranklinGothicStd-Demi" w:cs="ITCFranklinGothicStd-Demi"/>
          <w:color w:val="FF0000"/>
          <w:sz w:val="36"/>
          <w:szCs w:val="36"/>
        </w:rPr>
        <w:t>continua</w:t>
      </w:r>
      <w:r w:rsidRPr="003E2FF3">
        <w:rPr>
          <w:rFonts w:ascii="ITCFranklinGothicStd-Book" w:hAnsi="ITCFranklinGothicStd-Book" w:cs="ITCFranklinGothicStd-Book"/>
          <w:color w:val="000000"/>
          <w:sz w:val="36"/>
          <w:szCs w:val="36"/>
        </w:rPr>
        <w:t>:</w:t>
      </w:r>
    </w:p>
    <w:p w:rsidR="003E2FF3" w:rsidRPr="003E2FF3" w:rsidRDefault="003E2FF3" w:rsidP="003E2FF3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3E2FF3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Mi papá </w:t>
      </w:r>
      <w:r w:rsidRPr="003E2FF3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 xml:space="preserve">trabajaba </w:t>
      </w:r>
      <w:r w:rsidRPr="003E2FF3">
        <w:rPr>
          <w:rFonts w:ascii="ITCFranklinGothicStd-Book" w:hAnsi="ITCFranklinGothicStd-Book" w:cs="ITCFranklinGothicStd-Book"/>
          <w:color w:val="000000"/>
          <w:sz w:val="36"/>
          <w:szCs w:val="36"/>
        </w:rPr>
        <w:t>en la fábrica de papel.</w:t>
      </w:r>
    </w:p>
    <w:p w:rsidR="003E2FF3" w:rsidRDefault="003E2FF3" w:rsidP="003E2FF3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3E2FF3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El presente narra y comenta </w:t>
      </w:r>
      <w:r w:rsidRPr="003E2FF3">
        <w:rPr>
          <w:rFonts w:ascii="ITCFranklinGothicStd-Demi" w:hAnsi="ITCFranklinGothicStd-Demi" w:cs="ITCFranklinGothicStd-Demi"/>
          <w:color w:val="FF0000"/>
          <w:sz w:val="36"/>
          <w:szCs w:val="36"/>
        </w:rPr>
        <w:t>hechos actuales</w:t>
      </w:r>
      <w:r w:rsidRPr="003E2FF3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: </w:t>
      </w:r>
    </w:p>
    <w:p w:rsidR="003E2FF3" w:rsidRPr="001F20A5" w:rsidRDefault="003E2FF3" w:rsidP="003E2FF3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3E2FF3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Me </w:t>
      </w:r>
      <w:r w:rsidRPr="003E2FF3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gusta</w:t>
      </w:r>
      <w:r w:rsidRPr="003E2FF3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leer cuentos.</w:t>
      </w:r>
    </w:p>
    <w:p w:rsidR="003E2FF3" w:rsidRPr="003E2FF3" w:rsidRDefault="001F20A5" w:rsidP="003E2FF3">
      <w:pPr>
        <w:autoSpaceDE w:val="0"/>
        <w:autoSpaceDN w:val="0"/>
        <w:adjustRightInd w:val="0"/>
        <w:spacing w:after="0" w:line="240" w:lineRule="auto"/>
        <w:jc w:val="both"/>
        <w:rPr>
          <w:rFonts w:ascii="LubalinGraphStd-Demi" w:hAnsi="LubalinGraphStd-Demi" w:cs="LubalinGraphStd-Demi"/>
          <w:b/>
          <w:sz w:val="20"/>
          <w:szCs w:val="20"/>
        </w:rPr>
      </w:pPr>
      <w:r>
        <w:rPr>
          <w:rFonts w:ascii="LubalinGraphStd-Demi" w:hAnsi="LubalinGraphStd-Demi" w:cs="LubalinGraphStd-Demi"/>
          <w:b/>
          <w:noProof/>
          <w:sz w:val="20"/>
          <w:szCs w:val="20"/>
        </w:rPr>
        <w:drawing>
          <wp:inline distT="0" distB="0" distL="0" distR="0">
            <wp:extent cx="5400040" cy="1674469"/>
            <wp:effectExtent l="19050" t="0" r="0" b="0"/>
            <wp:docPr id="1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FF3" w:rsidRDefault="003E2FF3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5C3604" w:rsidRDefault="005C3604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5C3604" w:rsidRDefault="005C3604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5C3604" w:rsidRDefault="005C3604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5C3604" w:rsidRDefault="005C3604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5C3604" w:rsidRDefault="005C3604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5C3604" w:rsidRDefault="005C3604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5C3604" w:rsidRDefault="005C3604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5C3604" w:rsidRDefault="005C3604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5C3604" w:rsidRDefault="005C3604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5C3604" w:rsidRDefault="005C3604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5C3604" w:rsidRDefault="005C3604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5C3604" w:rsidRDefault="005C3604" w:rsidP="0057790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5C3604" w:rsidRDefault="005C3604" w:rsidP="005C3604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48"/>
          <w:szCs w:val="48"/>
        </w:rPr>
      </w:pPr>
      <w:r w:rsidRPr="005C3604">
        <w:rPr>
          <w:rFonts w:ascii="ITCFranklinGothicStd-Book" w:hAnsi="ITCFranklinGothicStd-Book" w:cs="ITCFranklinGothicStd-Book"/>
          <w:b/>
          <w:color w:val="000000"/>
          <w:sz w:val="36"/>
          <w:szCs w:val="36"/>
        </w:rPr>
        <w:lastRenderedPageBreak/>
        <w:t xml:space="preserve">TEMA 11: </w:t>
      </w:r>
      <w:r w:rsidRPr="005C3604">
        <w:rPr>
          <w:rFonts w:ascii="LubalinGraphStd-Demi" w:hAnsi="LubalinGraphStd-Demi" w:cs="LubalinGraphStd-Demi"/>
          <w:b/>
          <w:sz w:val="48"/>
          <w:szCs w:val="48"/>
        </w:rPr>
        <w:t>Signos de puntuación</w:t>
      </w:r>
      <w:r>
        <w:rPr>
          <w:rFonts w:ascii="LubalinGraphStd-Demi" w:hAnsi="LubalinGraphStd-Demi" w:cs="LubalinGraphStd-Demi"/>
          <w:b/>
          <w:sz w:val="48"/>
          <w:szCs w:val="48"/>
        </w:rPr>
        <w:t>.</w:t>
      </w:r>
    </w:p>
    <w:p w:rsidR="005C3604" w:rsidRPr="005C3604" w:rsidRDefault="005C3604" w:rsidP="005C360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Demi" w:hAnsi="ITCFranklinGothicStd-Demi" w:cs="ITCFranklinGothicStd-Demi"/>
          <w:color w:val="FF0000"/>
          <w:sz w:val="36"/>
          <w:szCs w:val="36"/>
        </w:rPr>
      </w:pPr>
      <w:r w:rsidRPr="005C3604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Los </w:t>
      </w:r>
      <w:r w:rsidRPr="005C3604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signos de puntuación </w:t>
      </w:r>
      <w:r w:rsidRPr="005C3604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sirven para </w:t>
      </w:r>
      <w:r w:rsidRPr="005C3604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separar </w:t>
      </w:r>
      <w:r w:rsidRPr="005C3604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y </w:t>
      </w:r>
      <w:r w:rsidRPr="005C3604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ordenar </w:t>
      </w:r>
      <w:r w:rsidRPr="005C3604">
        <w:rPr>
          <w:rFonts w:ascii="ITCFranklinGothicStd-Book" w:hAnsi="ITCFranklinGothicStd-Book" w:cs="ITCFranklinGothicStd-Book"/>
          <w:color w:val="000000"/>
          <w:sz w:val="36"/>
          <w:szCs w:val="36"/>
        </w:rPr>
        <w:t>las ideas de un texto.</w:t>
      </w:r>
    </w:p>
    <w:p w:rsidR="005C3604" w:rsidRDefault="005C3604" w:rsidP="005C360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5C3604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Escribimos </w:t>
      </w:r>
      <w:r w:rsidRPr="005C3604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coma </w:t>
      </w:r>
      <w:r w:rsidRPr="005C3604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después de cada elemento de una lista, y </w:t>
      </w:r>
      <w:r w:rsidRPr="005C3604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punto y coma </w:t>
      </w:r>
      <w:r w:rsidRPr="005C3604">
        <w:rPr>
          <w:rFonts w:ascii="ITCFranklinGothicStd-Book" w:hAnsi="ITCFranklinGothicStd-Book" w:cs="ITCFranklinGothicStd-Book"/>
          <w:color w:val="000000"/>
          <w:sz w:val="36"/>
          <w:szCs w:val="36"/>
        </w:rPr>
        <w:t>para separar cada lista, en un grupo de listas.</w:t>
      </w:r>
    </w:p>
    <w:p w:rsidR="005C3604" w:rsidRDefault="005C3604" w:rsidP="005C360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5C3604" w:rsidRPr="005C3604" w:rsidRDefault="005C3604" w:rsidP="005C360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5C3604">
        <w:rPr>
          <w:rFonts w:ascii="ITCFranklinGothicStd-Book" w:hAnsi="ITCFranklinGothicStd-Book" w:cs="ITCFranklinGothicStd-Book"/>
          <w:color w:val="000000"/>
          <w:sz w:val="36"/>
          <w:szCs w:val="36"/>
        </w:rPr>
        <w:t>El punto se usa para terminar una oración.</w:t>
      </w:r>
    </w:p>
    <w:p w:rsidR="005C3604" w:rsidRPr="005C3604" w:rsidRDefault="005C3604" w:rsidP="005C360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Demi" w:hAnsi="ITCFranklinGothicStd-Demi" w:cs="ITCFranklinGothicStd-Demi"/>
          <w:color w:val="FF0000"/>
          <w:sz w:val="36"/>
          <w:szCs w:val="36"/>
        </w:rPr>
      </w:pPr>
      <w:r w:rsidRPr="005C3604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Escribimos </w:t>
      </w:r>
      <w:r w:rsidRPr="005C3604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punto y seguido </w:t>
      </w:r>
      <w:r w:rsidRPr="005C3604">
        <w:rPr>
          <w:rFonts w:ascii="ITCFranklinGothicStd-Book" w:hAnsi="ITCFranklinGothicStd-Book" w:cs="ITCFranklinGothicStd-Book"/>
          <w:color w:val="000000"/>
          <w:sz w:val="36"/>
          <w:szCs w:val="36"/>
        </w:rPr>
        <w:t>para separar dos ideas que</w:t>
      </w:r>
      <w:r w:rsidRPr="005C3604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 </w:t>
      </w:r>
      <w:r w:rsidRPr="005C3604">
        <w:rPr>
          <w:rFonts w:ascii="ITCFranklinGothicStd-Book" w:hAnsi="ITCFranklinGothicStd-Book" w:cs="ITCFranklinGothicStd-Book"/>
          <w:color w:val="000000"/>
          <w:sz w:val="36"/>
          <w:szCs w:val="36"/>
        </w:rPr>
        <w:t>tratan diferentes aspectos de</w:t>
      </w:r>
      <w:r w:rsidRPr="005C3604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 </w:t>
      </w:r>
      <w:r w:rsidRPr="005C3604">
        <w:rPr>
          <w:rFonts w:ascii="ITCFranklinGothicStd-Book" w:hAnsi="ITCFranklinGothicStd-Book" w:cs="ITCFranklinGothicStd-Book"/>
          <w:color w:val="000000"/>
          <w:sz w:val="36"/>
          <w:szCs w:val="36"/>
        </w:rPr>
        <w:t>un mismo tema.</w:t>
      </w:r>
    </w:p>
    <w:p w:rsidR="005C3604" w:rsidRPr="005C3604" w:rsidRDefault="005C3604" w:rsidP="005C360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Demi" w:hAnsi="ITCFranklinGothicStd-Demi" w:cs="ITCFranklinGothicStd-Demi"/>
          <w:color w:val="FF0000"/>
          <w:sz w:val="36"/>
          <w:szCs w:val="36"/>
        </w:rPr>
      </w:pPr>
      <w:r w:rsidRPr="005C3604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El </w:t>
      </w:r>
      <w:r w:rsidRPr="005C3604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punto y aparte </w:t>
      </w:r>
      <w:r w:rsidRPr="005C3604">
        <w:rPr>
          <w:rFonts w:ascii="ITCFranklinGothicStd-Book" w:hAnsi="ITCFranklinGothicStd-Book" w:cs="ITCFranklinGothicStd-Book"/>
          <w:color w:val="000000"/>
          <w:sz w:val="36"/>
          <w:szCs w:val="36"/>
        </w:rPr>
        <w:t>sirve para marcar el final de un párrafo.</w:t>
      </w:r>
      <w:r w:rsidR="00DE1303" w:rsidRPr="00DE1303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</w:t>
      </w:r>
      <w:r w:rsidR="00DE1303">
        <w:rPr>
          <w:rFonts w:ascii="ITCFranklinGothicStd-Book" w:hAnsi="ITCFranklinGothicStd-Book" w:cs="ITCFranklinGothicStd-Book"/>
          <w:noProof/>
          <w:color w:val="000000"/>
          <w:sz w:val="36"/>
          <w:szCs w:val="36"/>
        </w:rPr>
        <w:drawing>
          <wp:inline distT="0" distB="0" distL="0" distR="0">
            <wp:extent cx="5400040" cy="2577308"/>
            <wp:effectExtent l="19050" t="0" r="0" b="0"/>
            <wp:docPr id="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7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604" w:rsidRDefault="005C3604" w:rsidP="005C360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57790D" w:rsidRDefault="0057790D" w:rsidP="0057790D">
      <w:pPr>
        <w:tabs>
          <w:tab w:val="left" w:pos="1383"/>
        </w:tabs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57790D" w:rsidRPr="00EF64A9" w:rsidRDefault="0057790D" w:rsidP="0057790D">
      <w:pPr>
        <w:tabs>
          <w:tab w:val="left" w:pos="1383"/>
        </w:tabs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EF64A9" w:rsidRPr="003B0B8D" w:rsidRDefault="00EF64A9" w:rsidP="003B0B8D">
      <w:pPr>
        <w:tabs>
          <w:tab w:val="left" w:pos="3646"/>
        </w:tabs>
        <w:rPr>
          <w:sz w:val="44"/>
          <w:szCs w:val="44"/>
        </w:rPr>
      </w:pPr>
    </w:p>
    <w:sectPr w:rsidR="00EF64A9" w:rsidRPr="003B0B8D" w:rsidSect="007B4829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3712" w:rsidRDefault="00003712" w:rsidP="0090696A">
      <w:pPr>
        <w:spacing w:after="0" w:line="240" w:lineRule="auto"/>
      </w:pPr>
      <w:r>
        <w:separator/>
      </w:r>
    </w:p>
  </w:endnote>
  <w:endnote w:type="continuationSeparator" w:id="1">
    <w:p w:rsidR="00003712" w:rsidRDefault="00003712" w:rsidP="00906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ITCFranklinGothicSt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TCFranklinGothicStd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deGothicLTStd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balinGraphStd-Dem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TCFranklinGothicStd-DemiI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TCFranklinGothicStd-BookI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3712" w:rsidRDefault="00003712" w:rsidP="0090696A">
      <w:pPr>
        <w:spacing w:after="0" w:line="240" w:lineRule="auto"/>
      </w:pPr>
      <w:r>
        <w:separator/>
      </w:r>
    </w:p>
  </w:footnote>
  <w:footnote w:type="continuationSeparator" w:id="1">
    <w:p w:rsidR="00003712" w:rsidRDefault="00003712" w:rsidP="009069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B4829"/>
    <w:rsid w:val="00003712"/>
    <w:rsid w:val="00103B2F"/>
    <w:rsid w:val="00123661"/>
    <w:rsid w:val="0014518E"/>
    <w:rsid w:val="001B0CCD"/>
    <w:rsid w:val="001F20A5"/>
    <w:rsid w:val="0025609A"/>
    <w:rsid w:val="003514AA"/>
    <w:rsid w:val="0035782A"/>
    <w:rsid w:val="00393BBF"/>
    <w:rsid w:val="003B0B8D"/>
    <w:rsid w:val="003E2FF3"/>
    <w:rsid w:val="00570943"/>
    <w:rsid w:val="0057790D"/>
    <w:rsid w:val="005C3604"/>
    <w:rsid w:val="006E68AA"/>
    <w:rsid w:val="006F5AE6"/>
    <w:rsid w:val="0073039F"/>
    <w:rsid w:val="007B4829"/>
    <w:rsid w:val="007D273C"/>
    <w:rsid w:val="008945B6"/>
    <w:rsid w:val="0090696A"/>
    <w:rsid w:val="00954C06"/>
    <w:rsid w:val="00A3550B"/>
    <w:rsid w:val="00A43B2B"/>
    <w:rsid w:val="00B63682"/>
    <w:rsid w:val="00BC68C6"/>
    <w:rsid w:val="00CD41B0"/>
    <w:rsid w:val="00DE1303"/>
    <w:rsid w:val="00EB19AB"/>
    <w:rsid w:val="00EF6216"/>
    <w:rsid w:val="00EF64A9"/>
    <w:rsid w:val="00FA57C8"/>
    <w:rsid w:val="00FF1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9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5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550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9069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0696A"/>
  </w:style>
  <w:style w:type="paragraph" w:styleId="Piedepgina">
    <w:name w:val="footer"/>
    <w:basedOn w:val="Normal"/>
    <w:link w:val="PiedepginaCar"/>
    <w:uiPriority w:val="99"/>
    <w:semiHidden/>
    <w:unhideWhenUsed/>
    <w:rsid w:val="009069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069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14</Pages>
  <Words>802</Words>
  <Characters>4414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</Company>
  <LinksUpToDate>false</LinksUpToDate>
  <CharactersWithSpaces>5206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</dc:creator>
  <cp:keywords/>
  <dc:description/>
  <cp:lastModifiedBy>se</cp:lastModifiedBy>
  <cp:revision>10</cp:revision>
  <cp:lastPrinted>2014-11-06T19:24:00Z</cp:lastPrinted>
  <dcterms:created xsi:type="dcterms:W3CDTF">2014-10-27T18:15:00Z</dcterms:created>
  <dcterms:modified xsi:type="dcterms:W3CDTF">2014-12-02T18:46:00Z</dcterms:modified>
</cp:coreProperties>
</file>