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D" w:rsidRDefault="000050A5">
      <w:pPr>
        <w:rPr>
          <w:sz w:val="36"/>
          <w:szCs w:val="36"/>
        </w:rPr>
      </w:pPr>
      <w:r w:rsidRPr="000050A5">
        <w:rPr>
          <w:sz w:val="36"/>
          <w:szCs w:val="36"/>
        </w:rPr>
        <w:t xml:space="preserve">FECHA </w:t>
      </w:r>
      <w:r>
        <w:rPr>
          <w:sz w:val="36"/>
          <w:szCs w:val="36"/>
        </w:rPr>
        <w:t>28/OCT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0050A5">
        <w:rPr>
          <w:b/>
          <w:sz w:val="36"/>
          <w:szCs w:val="36"/>
        </w:rPr>
        <w:t>TEMA 1:</w:t>
      </w:r>
      <w:r w:rsidRPr="000050A5">
        <w:rPr>
          <w:rFonts w:ascii="LubalinGraphStd-Demi" w:hAnsi="LubalinGraphStd-Demi" w:cs="LubalinGraphStd-Demi"/>
          <w:b/>
          <w:sz w:val="44"/>
          <w:szCs w:val="44"/>
        </w:rPr>
        <w:t xml:space="preserve"> Descomposiciones aditivas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0050A5">
        <w:rPr>
          <w:rFonts w:ascii="ITCFranklinGothicStd-Book" w:hAnsi="ITCFranklinGothicStd-Book" w:cs="ITCFranklinGothicStd-Book"/>
          <w:sz w:val="36"/>
          <w:szCs w:val="36"/>
        </w:rPr>
        <w:t>Las cifras que forman cada número tienen un valor posicional. El lugar que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ocupan dichas cifras al </w:t>
      </w:r>
      <w:r w:rsidRPr="000050A5">
        <w:rPr>
          <w:rFonts w:ascii="ITCFranklinGothicStd-Book" w:hAnsi="ITCFranklinGothicStd-Book" w:cs="ITCFranklinGothicStd-Book"/>
          <w:sz w:val="36"/>
          <w:szCs w:val="36"/>
        </w:rPr>
        <w:t>interior de una cantidad determina su valor.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sz w:val="20"/>
          <w:szCs w:val="20"/>
        </w:rPr>
        <w:drawing>
          <wp:inline distT="0" distB="0" distL="0" distR="0">
            <wp:extent cx="5400040" cy="44509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número 7 está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9 está en el lugar de las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 xml:space="preserve">decenas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>noventa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3 aparece en el lugar de las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 xml:space="preserve">centenas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>trescientos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5 se ubica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de millar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>cinco mil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 número se puede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descomponer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en forma aditiva: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300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 w:rsidR="00E319C3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90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Los números pueden presentar varias descomposiciones aditivas, por ejemplo: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3 000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2 000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200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80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17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50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40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La descomposición aditiva facilita la lectura de números, ya que comienza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por las unidades de 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millar, luego las centenas, las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decenas y finalmente las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unidades; de manera que se leería: </w:t>
      </w:r>
      <w:r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Cinco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mil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trescientos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noventa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A146D9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inline distT="0" distB="0" distL="0" distR="0">
            <wp:extent cx="5922992" cy="3276132"/>
            <wp:effectExtent l="19050" t="0" r="155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97" t="14706" r="12916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28" cy="32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765D20" w:rsidRPr="00765D20" w:rsidRDefault="00765D20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44"/>
          <w:szCs w:val="44"/>
        </w:rPr>
      </w:pPr>
      <w:r>
        <w:rPr>
          <w:rFonts w:ascii="ITCFranklinGothicStd-Book" w:hAnsi="ITCFranklinGothicStd-Book" w:cs="ITCFranklinGothicStd-Book"/>
          <w:sz w:val="36"/>
          <w:szCs w:val="36"/>
        </w:rPr>
        <w:lastRenderedPageBreak/>
        <w:t xml:space="preserve">Fecha </w:t>
      </w:r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4 </w:t>
      </w:r>
      <w:proofErr w:type="spellStart"/>
      <w:r w:rsidR="0002121C">
        <w:rPr>
          <w:rFonts w:ascii="ITCFranklinGothicStd-Book" w:hAnsi="ITCFranklinGothicStd-Book" w:cs="ITCFranklinGothicStd-Book"/>
          <w:sz w:val="36"/>
          <w:szCs w:val="36"/>
        </w:rPr>
        <w:t>Nov</w:t>
      </w:r>
      <w:proofErr w:type="spellEnd"/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765D20">
        <w:rPr>
          <w:rFonts w:ascii="ITCFranklinGothicStd-Book" w:hAnsi="ITCFranklinGothicStd-Book" w:cs="ITCFranklinGothicStd-Book"/>
          <w:b/>
          <w:sz w:val="44"/>
          <w:szCs w:val="44"/>
        </w:rPr>
        <w:t xml:space="preserve">Tema 2 </w:t>
      </w:r>
      <w:r w:rsidRPr="00765D20">
        <w:rPr>
          <w:rFonts w:ascii="LubalinGraphStd-Demi" w:hAnsi="LubalinGraphStd-Demi" w:cs="LubalinGraphStd-Demi"/>
          <w:b/>
          <w:sz w:val="44"/>
          <w:szCs w:val="44"/>
        </w:rPr>
        <w:t>Escritura de números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 número se puede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descomponer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según el valor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que ocupa en cada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cifra. Ejemplos: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3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4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5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300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40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5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7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6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700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6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7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200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20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7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600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descomposición de los números ayuda para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nombrarlos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según los valores obtenidos en cada cifra: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Trescientos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cuarenta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cinco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Setecientos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seis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doscientos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veinti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siete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3F1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Cuatro 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seiscientos</w:t>
      </w:r>
    </w:p>
    <w:p w:rsidR="00A90092" w:rsidRPr="00765D20" w:rsidRDefault="00A90092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019675" cy="17049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08" t="27059" r="8749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0050A5" w:rsidRPr="00765D20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20"/>
          <w:szCs w:val="20"/>
        </w:rPr>
      </w:pPr>
    </w:p>
    <w:p w:rsidR="0040763C" w:rsidRDefault="0040763C">
      <w:pPr>
        <w:rPr>
          <w:sz w:val="36"/>
          <w:szCs w:val="36"/>
        </w:rPr>
      </w:pPr>
    </w:p>
    <w:p w:rsidR="0040763C" w:rsidRDefault="0040763C" w:rsidP="0040763C">
      <w:pPr>
        <w:rPr>
          <w:sz w:val="36"/>
          <w:szCs w:val="36"/>
        </w:rPr>
      </w:pPr>
    </w:p>
    <w:p w:rsidR="000050A5" w:rsidRDefault="0040763C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 11/ </w:t>
      </w:r>
      <w:proofErr w:type="spellStart"/>
      <w:r>
        <w:rPr>
          <w:sz w:val="36"/>
          <w:szCs w:val="36"/>
        </w:rPr>
        <w:t>Nov</w:t>
      </w:r>
      <w:proofErr w:type="spellEnd"/>
      <w:r>
        <w:rPr>
          <w:sz w:val="36"/>
          <w:szCs w:val="36"/>
        </w:rPr>
        <w:t xml:space="preserve"> 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  <w:r>
        <w:rPr>
          <w:sz w:val="36"/>
          <w:szCs w:val="36"/>
        </w:rPr>
        <w:t xml:space="preserve">Tema 3: </w:t>
      </w:r>
      <w:r>
        <w:rPr>
          <w:rFonts w:ascii="LubalinGraphStd-Demi" w:hAnsi="LubalinGraphStd-Demi" w:cs="LubalinGraphStd-Demi"/>
          <w:sz w:val="44"/>
          <w:szCs w:val="44"/>
        </w:rPr>
        <w:t>Multiplicaciones parciales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  <w:r>
        <w:rPr>
          <w:rFonts w:ascii="LubalinGraphStd-Demi" w:hAnsi="LubalinGraphStd-Demi" w:cs="LubalinGraphStd-Demi"/>
          <w:noProof/>
          <w:sz w:val="44"/>
          <w:szCs w:val="44"/>
        </w:rPr>
        <w:drawing>
          <wp:inline distT="0" distB="0" distL="0" distR="0">
            <wp:extent cx="2247601" cy="1751846"/>
            <wp:effectExtent l="19050" t="0" r="299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97" cy="17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4"/>
          <w:szCs w:val="4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Para resolver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multiplicaciones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se puede recurrir a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operaciones parciales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El rectángulo tiene 18 cuadrados en la base y 14 en la altura; para obtener el total de cuadrados que lo conforman se debería multiplicar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18 × 14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 xml:space="preserve">No obstante, puede resultar más sencillo resolver esta multiplicación si se fracciona en partes más sencillas y se multiplican: 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Primero se descompone la multiplicación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18 × 10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en: 10 × 10 = 100 y 10 × 8 = 80; luego se suman ambos resultados y se obtiene: 180. De igual manera se descompone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18 × 4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en: 10 × 4 = 40 y 8 × 4 = 32.</w:t>
      </w: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La suma de los resultados es 72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Por último, se suman los resultados de las descomposiciones: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180 + 72 = 252, 18 × 14 = 252.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P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44"/>
          <w:szCs w:val="44"/>
        </w:rPr>
      </w:pPr>
      <w:r w:rsidRPr="008147F2">
        <w:rPr>
          <w:rFonts w:ascii="ITCFranklinGothicStd-Book" w:hAnsi="ITCFranklinGothicStd-Book" w:cs="ITCFranklinGothicStd-Book"/>
          <w:b/>
          <w:sz w:val="44"/>
          <w:szCs w:val="44"/>
        </w:rPr>
        <w:lastRenderedPageBreak/>
        <w:t xml:space="preserve">Fecha 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8147F2">
        <w:rPr>
          <w:rFonts w:ascii="LubalinGraphStd-Demi" w:hAnsi="LubalinGraphStd-Demi" w:cs="LubalinGraphStd-Demi"/>
          <w:b/>
          <w:sz w:val="44"/>
          <w:szCs w:val="44"/>
        </w:rPr>
        <w:t>Tema 4: Multiplicaciones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20"/>
          <w:szCs w:val="20"/>
        </w:rPr>
      </w:pPr>
      <w:proofErr w:type="gramStart"/>
      <w:r w:rsidRPr="008147F2">
        <w:rPr>
          <w:rFonts w:ascii="LubalinGraphStd-Demi" w:hAnsi="LubalinGraphStd-Demi" w:cs="LubalinGraphStd-Demi"/>
          <w:b/>
          <w:sz w:val="44"/>
          <w:szCs w:val="44"/>
        </w:rPr>
        <w:t>por</w:t>
      </w:r>
      <w:proofErr w:type="gramEnd"/>
      <w:r w:rsidRPr="008147F2">
        <w:rPr>
          <w:rFonts w:ascii="LubalinGraphStd-Demi" w:hAnsi="LubalinGraphStd-Demi" w:cs="LubalinGraphStd-Demi"/>
          <w:b/>
          <w:sz w:val="44"/>
          <w:szCs w:val="44"/>
        </w:rPr>
        <w:t xml:space="preserve"> 10, 20, 30...</w:t>
      </w:r>
    </w:p>
    <w:p w:rsidR="008147F2" w:rsidRDefault="008147F2" w:rsidP="008147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20"/>
          <w:szCs w:val="20"/>
        </w:rPr>
      </w:pP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multiplicaciones por 10 facilitan 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resolución de 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>multiplicaciones más complejas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. Este procedimiento se puede utilizar para hacer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multiplicaciones en las que ambos factores sean de dos cifras.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Para ello, se descompone uno de los factores en decenas completas y unidades.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b/>
          <w:sz w:val="20"/>
          <w:szCs w:val="20"/>
        </w:rPr>
      </w:pP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Es importante recordar que para multiplicar por decenas completas o centenas completas, se trabaja con los números diferentes de cero y se agregan los ceros necesarios. Por ejemplo:</w:t>
      </w: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10 × 30 = 300</w:t>
      </w: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30 × 90 = 2 700</w:t>
      </w:r>
    </w:p>
    <w:p w:rsidR="0040763C" w:rsidRPr="00F90D94" w:rsidRDefault="00EB1E3C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12 × 30 = 360</w:t>
      </w: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F90D94">
        <w:rPr>
          <w:rFonts w:ascii="ITCFranklinGothicStd-Demi" w:hAnsi="ITCFranklinGothicStd-Demi" w:cs="ITCFranklinGothicStd-Demi"/>
          <w:color w:val="FF0000"/>
          <w:sz w:val="36"/>
          <w:szCs w:val="36"/>
        </w:rPr>
        <w:t>Así que para multiplicar 18 × 30 se puede: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10 × 30 =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300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8 × 30 = +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  <w:u w:val="single"/>
        </w:rPr>
        <w:t>240</w:t>
      </w:r>
    </w:p>
    <w:p w:rsid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Sumar ambos resultados: 540</w:t>
      </w:r>
    </w:p>
    <w:p w:rsid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F90D94">
        <w:rPr>
          <w:rFonts w:ascii="ITCFranklinGothicStd-Demi" w:hAnsi="ITCFranklinGothicStd-Demi" w:cs="ITCFranklinGothicStd-Demi"/>
          <w:color w:val="FF0000"/>
          <w:sz w:val="36"/>
          <w:szCs w:val="36"/>
        </w:rPr>
        <w:t>Y para multiplicar 34 × 90 se puede: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Multiplicar: 30 × 90 = 2 700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4 × 90 = +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  <w:u w:val="single"/>
        </w:rPr>
        <w:t>360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Sumar ambos resultados: 3 060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  <w:r w:rsidRPr="00F97C50">
        <w:rPr>
          <w:rFonts w:ascii="ITCFranklinGothicStd-Demi" w:hAnsi="ITCFranklinGothicStd-Demi" w:cs="ITCFranklinGothicStd-Demi"/>
          <w:sz w:val="32"/>
          <w:szCs w:val="32"/>
        </w:rPr>
        <w:t>Lee y responde.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2"/>
          <w:szCs w:val="32"/>
        </w:rPr>
      </w:pPr>
      <w:r w:rsidRPr="00F97C50">
        <w:rPr>
          <w:rFonts w:ascii="ITCFranklinGothicStd-Book" w:hAnsi="ITCFranklinGothicStd-Book" w:cs="ITCFranklinGothicStd-Book"/>
          <w:sz w:val="32"/>
          <w:szCs w:val="32"/>
        </w:rPr>
        <w:t>En el desfile del 20 de noviembre la escuela de Manuel participará con dieciséis filas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  <w:proofErr w:type="gramStart"/>
      <w:r w:rsidRPr="00F97C50">
        <w:rPr>
          <w:rFonts w:ascii="ITCFranklinGothicStd-Book" w:hAnsi="ITCFranklinGothicStd-Book" w:cs="ITCFranklinGothicStd-Book"/>
          <w:sz w:val="32"/>
          <w:szCs w:val="32"/>
        </w:rPr>
        <w:t>de</w:t>
      </w:r>
      <w:proofErr w:type="gramEnd"/>
      <w:r w:rsidRPr="00F97C50">
        <w:rPr>
          <w:rFonts w:ascii="ITCFranklinGothicStd-Book" w:hAnsi="ITCFranklinGothicStd-Book" w:cs="ITCFranklinGothicStd-Book"/>
          <w:sz w:val="32"/>
          <w:szCs w:val="32"/>
        </w:rPr>
        <w:t xml:space="preserve"> veinte niños cada una. ¿Cuántos niños participarán?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Siguiendo el procedimiento del recuadro informativo: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Multiplicar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Multiplicar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Participarán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44"/>
          <w:szCs w:val="44"/>
        </w:rPr>
      </w:pPr>
    </w:p>
    <w:p w:rsidR="0040763C" w:rsidRDefault="00A005DF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t xml:space="preserve">Fecha 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A005DF">
        <w:rPr>
          <w:b/>
          <w:sz w:val="36"/>
          <w:szCs w:val="36"/>
        </w:rPr>
        <w:t xml:space="preserve">TEMA 5: </w:t>
      </w:r>
      <w:r w:rsidRPr="00A005DF">
        <w:rPr>
          <w:rFonts w:ascii="LubalinGraphStd-Demi" w:hAnsi="LubalinGraphStd-Demi" w:cs="LubalinGraphStd-Demi"/>
          <w:b/>
          <w:sz w:val="44"/>
          <w:szCs w:val="44"/>
        </w:rPr>
        <w:t>Estimación de longitudes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A005DF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longitud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un objeto o la distancia que hay entre dos de ellos se </w:t>
      </w:r>
      <w:proofErr w:type="gramStart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puede</w:t>
      </w:r>
      <w:proofErr w:type="gramEnd"/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estimar a partir de un punto de referencia que determine si el objeto es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corto o largo,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si se ubica lejos o cerca. 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Por ejemplo:</w:t>
      </w:r>
      <w:r w:rsidRPr="00A005DF">
        <w:rPr>
          <w:rFonts w:ascii="ITCFranklinGothicStd-Book" w:hAnsi="ITCFranklinGothicStd-Book" w:cs="ITCFranklinGothicStd-Book"/>
          <w:sz w:val="24"/>
          <w:szCs w:val="24"/>
        </w:rPr>
        <w:t xml:space="preserve">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La goma es más corta que el lápiz, que a su vez es más corto que la regla.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sz w:val="20"/>
          <w:szCs w:val="20"/>
        </w:rPr>
        <w:drawing>
          <wp:inline distT="0" distB="0" distL="0" distR="0">
            <wp:extent cx="5400040" cy="55748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sz w:val="36"/>
          <w:szCs w:val="36"/>
        </w:rPr>
        <w:t>La distancia del jug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ador de basquetbol a la canasta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es menor que la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distanc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ia entre el jugador de futbol y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la portería.</w:t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20"/>
          <w:szCs w:val="20"/>
        </w:rPr>
      </w:pPr>
      <w:r>
        <w:rPr>
          <w:rFonts w:ascii="LubalinGraphStd-Demi" w:hAnsi="LubalinGraphStd-Demi" w:cs="LubalinGraphStd-Demi"/>
          <w:b/>
          <w:noProof/>
          <w:sz w:val="20"/>
          <w:szCs w:val="20"/>
        </w:rPr>
        <w:drawing>
          <wp:inline distT="0" distB="0" distL="0" distR="0">
            <wp:extent cx="5400040" cy="1218558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A005DF" w:rsidP="0040763C">
      <w:pPr>
        <w:tabs>
          <w:tab w:val="left" w:pos="3443"/>
        </w:tabs>
        <w:rPr>
          <w:sz w:val="36"/>
          <w:szCs w:val="36"/>
        </w:rPr>
      </w:pP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El centímetro (</w:t>
      </w:r>
      <w:r w:rsidRPr="00A005DF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1 cm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=___</w:t>
      </w:r>
      <w:proofErr w:type="gramStart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_ )</w:t>
      </w:r>
      <w:proofErr w:type="gramEnd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es una de las unidades de medida más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usadas para estimar longitudes: “Ese lápiz mide aproximadamente 10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centímetros”. </w:t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También existen instrumentos de medición, como la regla,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que permiten comprobar estimaciones de longitudes.</w:t>
      </w:r>
    </w:p>
    <w:p w:rsidR="00A005DF" w:rsidRDefault="00A005DF" w:rsidP="0040763C">
      <w:pPr>
        <w:tabs>
          <w:tab w:val="left" w:pos="3443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00040" cy="26583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A005DF" w:rsidP="00A005DF">
      <w:pPr>
        <w:rPr>
          <w:sz w:val="36"/>
          <w:szCs w:val="36"/>
        </w:rPr>
      </w:pPr>
    </w:p>
    <w:p w:rsidR="00840415" w:rsidRDefault="00A005DF" w:rsidP="00A005DF">
      <w:pPr>
        <w:tabs>
          <w:tab w:val="left" w:pos="30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5400040" cy="3027601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840415" w:rsidP="00840415">
      <w:pPr>
        <w:tabs>
          <w:tab w:val="left" w:pos="303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840415">
        <w:rPr>
          <w:rFonts w:ascii="LubalinGraphStd-Demi" w:hAnsi="LubalinGraphStd-Demi" w:cs="LubalinGraphStd-Demi"/>
          <w:b/>
          <w:sz w:val="44"/>
          <w:szCs w:val="44"/>
        </w:rPr>
        <w:lastRenderedPageBreak/>
        <w:t>TEMA 6: Uso de la regla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puede utilizar una </w:t>
      </w:r>
      <w:r w:rsidRPr="0084041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regla </w:t>
      </w: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medir la </w:t>
      </w:r>
      <w:r w:rsidRPr="0084041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longitud </w:t>
      </w: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>de los objetos.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840415">
        <w:rPr>
          <w:rFonts w:ascii="ITCFranklinGothicStd-Book" w:hAnsi="ITCFranklinGothicStd-Book" w:cs="ITCFranklinGothicStd-Book"/>
          <w:sz w:val="36"/>
          <w:szCs w:val="36"/>
        </w:rPr>
        <w:t>La regla está dividida en centímetros y algunas otras también en pulgadas, no obstante, la unidad de medida más usada en nuestro país es el centímetro.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40" cy="4471422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680EE8" w:rsidRDefault="00840415" w:rsidP="00840415">
      <w:pPr>
        <w:tabs>
          <w:tab w:val="left" w:pos="3030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00040" cy="2799984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8" w:rsidRDefault="00680EE8" w:rsidP="00680EE8">
      <w:pPr>
        <w:rPr>
          <w:sz w:val="36"/>
          <w:szCs w:val="36"/>
        </w:rPr>
      </w:pPr>
    </w:p>
    <w:p w:rsidR="00840415" w:rsidRDefault="00680EE8" w:rsidP="00680EE8">
      <w:pPr>
        <w:tabs>
          <w:tab w:val="left" w:pos="354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680EE8" w:rsidRDefault="00680EE8" w:rsidP="00680EE8">
      <w:pPr>
        <w:tabs>
          <w:tab w:val="left" w:pos="3542"/>
        </w:tabs>
        <w:rPr>
          <w:sz w:val="36"/>
          <w:szCs w:val="36"/>
        </w:rPr>
      </w:pPr>
    </w:p>
    <w:p w:rsidR="00472CF5" w:rsidRDefault="00472CF5" w:rsidP="00472CF5">
      <w:pPr>
        <w:tabs>
          <w:tab w:val="left" w:pos="3542"/>
        </w:tabs>
        <w:rPr>
          <w:sz w:val="36"/>
          <w:szCs w:val="36"/>
        </w:rPr>
      </w:pPr>
    </w:p>
    <w:p w:rsidR="00680EE8" w:rsidRPr="00680EE8" w:rsidRDefault="00680EE8" w:rsidP="00472CF5">
      <w:pPr>
        <w:tabs>
          <w:tab w:val="left" w:pos="3542"/>
        </w:tabs>
        <w:rPr>
          <w:b/>
          <w:sz w:val="56"/>
          <w:szCs w:val="56"/>
        </w:rPr>
      </w:pPr>
      <w:r w:rsidRPr="00680EE8">
        <w:rPr>
          <w:b/>
          <w:sz w:val="56"/>
          <w:szCs w:val="56"/>
        </w:rPr>
        <w:lastRenderedPageBreak/>
        <w:t>Fecha</w:t>
      </w:r>
    </w:p>
    <w:p w:rsidR="00680EE8" w:rsidRDefault="00680EE8" w:rsidP="00680EE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56"/>
          <w:szCs w:val="56"/>
        </w:rPr>
      </w:pPr>
      <w:r w:rsidRPr="00680EE8">
        <w:rPr>
          <w:b/>
          <w:sz w:val="56"/>
          <w:szCs w:val="56"/>
        </w:rPr>
        <w:t xml:space="preserve">TEMA 7: </w:t>
      </w:r>
      <w:r w:rsidRPr="00680EE8">
        <w:rPr>
          <w:rFonts w:ascii="LubalinGraphStd-Demi" w:hAnsi="LubalinGraphStd-Demi" w:cs="LubalinGraphStd-Demi"/>
          <w:b/>
          <w:sz w:val="56"/>
          <w:szCs w:val="56"/>
        </w:rPr>
        <w:t>Lectura de gráfica de barras</w:t>
      </w:r>
      <w:r>
        <w:rPr>
          <w:rFonts w:ascii="LubalinGraphStd-Demi" w:hAnsi="LubalinGraphStd-Demi" w:cs="LubalinGraphStd-Demi"/>
          <w:b/>
          <w:sz w:val="56"/>
          <w:szCs w:val="56"/>
        </w:rPr>
        <w:t>.</w:t>
      </w:r>
    </w:p>
    <w:p w:rsidR="00680EE8" w:rsidRDefault="00680EE8" w:rsidP="00680EE8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56"/>
          <w:szCs w:val="56"/>
        </w:rPr>
      </w:pPr>
      <w:r>
        <w:rPr>
          <w:rFonts w:ascii="LubalinGraphStd-Demi" w:hAnsi="LubalinGraphStd-Demi" w:cs="LubalinGraphStd-Demi"/>
          <w:b/>
          <w:noProof/>
          <w:sz w:val="56"/>
          <w:szCs w:val="56"/>
        </w:rPr>
        <w:drawing>
          <wp:inline distT="0" distB="0" distL="0" distR="0">
            <wp:extent cx="4505960" cy="2273935"/>
            <wp:effectExtent l="19050" t="0" r="889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8" w:rsidRDefault="00680EE8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80EE8" w:rsidRDefault="00680EE8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80EE8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</w:t>
      </w:r>
      <w:r w:rsidRPr="00680EE8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interpretar la información </w:t>
      </w:r>
      <w:r w:rsidRPr="00680EE8">
        <w:rPr>
          <w:rFonts w:ascii="ITCFranklinGothicStd-Book" w:hAnsi="ITCFranklinGothicStd-Book" w:cs="ITCFranklinGothicStd-Book"/>
          <w:color w:val="000000"/>
          <w:sz w:val="36"/>
          <w:szCs w:val="36"/>
        </w:rPr>
        <w:t>de una gráfica de barras se debe considerar la relación entre los datos presentados por los ejes vertical y horizontal, en este caso, es la cantidad de alumnos que obtuvo determinadas calificaciones en el primer bimestre.</w:t>
      </w:r>
    </w:p>
    <w:p w:rsidR="00680EE8" w:rsidRDefault="00680EE8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72CF5" w:rsidRPr="00472CF5" w:rsidRDefault="00472CF5" w:rsidP="00472CF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472CF5">
        <w:rPr>
          <w:rFonts w:ascii="ITCFranklinGothicStd-Book" w:hAnsi="ITCFranklinGothicStd-Book" w:cs="ITCFranklinGothicStd-Book"/>
          <w:sz w:val="36"/>
          <w:szCs w:val="36"/>
        </w:rPr>
        <w:t xml:space="preserve">De esta manera se observa, por ejemplo, que ocho alumnos obtuvieron la calificación de 8 y otros ocho estudiantes la calificación de 9. </w:t>
      </w:r>
    </w:p>
    <w:p w:rsidR="00472CF5" w:rsidRPr="00472CF5" w:rsidRDefault="00472CF5" w:rsidP="00472CF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472CF5">
        <w:rPr>
          <w:rFonts w:ascii="ITCFranklinGothicStd-Book" w:hAnsi="ITCFranklinGothicStd-Book" w:cs="ITCFranklinGothicStd-Book"/>
          <w:sz w:val="36"/>
          <w:szCs w:val="36"/>
        </w:rPr>
        <w:t>Como las barras que representan estos datos son más altas que las demás, se puede concluir que la mayoría de los alumnos obtuvieron entre 8 y 9 de calificación en el primer bimestre.</w:t>
      </w:r>
    </w:p>
    <w:p w:rsidR="00472CF5" w:rsidRDefault="00472CF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472CF5" w:rsidRDefault="00472CF5" w:rsidP="00472CF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472CF5">
        <w:rPr>
          <w:rFonts w:ascii="ITCFranklinGothicStd-Book" w:hAnsi="ITCFranklinGothicStd-Book" w:cs="ITCFranklinGothicStd-Book"/>
          <w:sz w:val="36"/>
          <w:szCs w:val="36"/>
        </w:rPr>
        <w:t>También se puede saber cuántos alumnos hay en el grupo donde se realizó este registro si se suma el número de estudiantes que obtuvo cada calificación: 4 + 6 + 8 + 8 + 5 = 31. En ese grupo hay 31 alumnos.</w:t>
      </w:r>
    </w:p>
    <w:p w:rsidR="00472CF5" w:rsidRDefault="00902465" w:rsidP="00472CF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sz w:val="36"/>
          <w:szCs w:val="36"/>
        </w:rPr>
        <w:lastRenderedPageBreak/>
        <w:drawing>
          <wp:inline distT="0" distB="0" distL="0" distR="0">
            <wp:extent cx="5400040" cy="2618494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F5" w:rsidRPr="00472CF5" w:rsidRDefault="00472CF5" w:rsidP="00472CF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472CF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40" cy="3619700"/>
            <wp:effectExtent l="19050" t="0" r="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902465">
        <w:rPr>
          <w:rFonts w:ascii="ITCFranklinGothicStd-Book" w:hAnsi="ITCFranklinGothicStd-Book" w:cs="ITCFranklinGothicStd-Book"/>
          <w:b/>
          <w:color w:val="000000"/>
          <w:sz w:val="48"/>
          <w:szCs w:val="48"/>
        </w:rPr>
        <w:lastRenderedPageBreak/>
        <w:t xml:space="preserve">Tema 8: </w:t>
      </w:r>
      <w:r w:rsidRPr="00902465">
        <w:rPr>
          <w:rFonts w:ascii="LubalinGraphStd-Demi" w:hAnsi="LubalinGraphStd-Demi" w:cs="LubalinGraphStd-Demi"/>
          <w:b/>
          <w:sz w:val="48"/>
          <w:szCs w:val="48"/>
        </w:rPr>
        <w:t>Construcción de</w:t>
      </w:r>
    </w:p>
    <w:p w:rsid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proofErr w:type="gramStart"/>
      <w:r w:rsidRPr="00902465">
        <w:rPr>
          <w:rFonts w:ascii="LubalinGraphStd-Demi" w:hAnsi="LubalinGraphStd-Demi" w:cs="LubalinGraphStd-Demi"/>
          <w:b/>
          <w:sz w:val="48"/>
          <w:szCs w:val="48"/>
        </w:rPr>
        <w:t>gráfica</w:t>
      </w:r>
      <w:proofErr w:type="gramEnd"/>
      <w:r w:rsidRPr="00902465">
        <w:rPr>
          <w:rFonts w:ascii="LubalinGraphStd-Demi" w:hAnsi="LubalinGraphStd-Demi" w:cs="LubalinGraphStd-Demi"/>
          <w:b/>
          <w:sz w:val="48"/>
          <w:szCs w:val="48"/>
        </w:rPr>
        <w:t xml:space="preserve"> de barras</w:t>
      </w:r>
    </w:p>
    <w:p w:rsid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90246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gráfica de barras </w:t>
      </w: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>sirve para presentar información.</w:t>
      </w: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El </w:t>
      </w:r>
      <w:r w:rsidRPr="0090246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título de la gráfica </w:t>
      </w: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>plantea el tema, en este caso, las mascotas que tienen los alumnos de 3</w:t>
      </w:r>
      <w:proofErr w:type="gramStart"/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>.°</w:t>
      </w:r>
      <w:proofErr w:type="gramEnd"/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grado.</w:t>
      </w: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En el </w:t>
      </w:r>
      <w:r w:rsidRPr="0090246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eje horizontal </w:t>
      </w: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anota el nombre de las mascotas y en el </w:t>
      </w:r>
      <w:r w:rsidRPr="0090246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eje vertical </w:t>
      </w: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>se escriben los números empezando con el 0, para representar cuántos alumnos prefieren cada mascota.</w:t>
      </w: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902465">
        <w:rPr>
          <w:rFonts w:ascii="ITCFranklinGothicStd-Book" w:hAnsi="ITCFranklinGothicStd-Book" w:cs="ITCFranklinGothicStd-Book"/>
          <w:color w:val="000000"/>
          <w:sz w:val="36"/>
          <w:szCs w:val="36"/>
        </w:rPr>
        <w:t>Con las barras se representa el número de alumnos que prefieren cada mascota; por ejemplo, el hámster tiene dos votos, el perro cinco y el pez seis; este último indica la mayor preferencia.</w:t>
      </w:r>
    </w:p>
    <w:p w:rsidR="00902465" w:rsidRPr="00902465" w:rsidRDefault="00902465" w:rsidP="00902465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  <w:r>
        <w:rPr>
          <w:rFonts w:ascii="LubalinGraphStd-Demi" w:hAnsi="LubalinGraphStd-Demi" w:cs="LubalinGraphStd-Demi"/>
          <w:noProof/>
          <w:sz w:val="44"/>
          <w:szCs w:val="44"/>
        </w:rPr>
        <w:drawing>
          <wp:inline distT="0" distB="0" distL="0" distR="0">
            <wp:extent cx="3590925" cy="2308452"/>
            <wp:effectExtent l="19050" t="0" r="9525" b="0"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51" cy="23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65" w:rsidRDefault="00902465" w:rsidP="0090246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20"/>
          <w:szCs w:val="20"/>
        </w:rPr>
      </w:pPr>
    </w:p>
    <w:p w:rsidR="00902465" w:rsidRPr="00680EE8" w:rsidRDefault="00902465" w:rsidP="00680EE8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80EE8" w:rsidRPr="00680EE8" w:rsidRDefault="00CC30D3" w:rsidP="00680EE8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56"/>
          <w:szCs w:val="56"/>
        </w:rPr>
      </w:pPr>
      <w:r>
        <w:rPr>
          <w:rFonts w:ascii="LubalinGraphStd-Demi" w:hAnsi="LubalinGraphStd-Demi" w:cs="LubalinGraphStd-Demi"/>
          <w:b/>
          <w:noProof/>
          <w:sz w:val="56"/>
          <w:szCs w:val="56"/>
        </w:rPr>
        <w:lastRenderedPageBreak/>
        <w:drawing>
          <wp:inline distT="0" distB="0" distL="0" distR="0">
            <wp:extent cx="5400040" cy="2292843"/>
            <wp:effectExtent l="19050" t="0" r="0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E8" w:rsidRPr="00680EE8" w:rsidRDefault="00CC30D3" w:rsidP="00680EE8">
      <w:pPr>
        <w:tabs>
          <w:tab w:val="left" w:pos="3542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3289115"/>
            <wp:effectExtent l="19050" t="0" r="0" b="0"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EE8" w:rsidRPr="00680EE8" w:rsidSect="000050A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050A5"/>
    <w:rsid w:val="000050A5"/>
    <w:rsid w:val="0002121C"/>
    <w:rsid w:val="000A1C83"/>
    <w:rsid w:val="002E1723"/>
    <w:rsid w:val="003A1DDE"/>
    <w:rsid w:val="003C5E37"/>
    <w:rsid w:val="003E44B0"/>
    <w:rsid w:val="0040763C"/>
    <w:rsid w:val="00472CF5"/>
    <w:rsid w:val="004D5F61"/>
    <w:rsid w:val="00514B22"/>
    <w:rsid w:val="00680EE8"/>
    <w:rsid w:val="006F66C1"/>
    <w:rsid w:val="00765D20"/>
    <w:rsid w:val="008147F2"/>
    <w:rsid w:val="00840415"/>
    <w:rsid w:val="008C1DED"/>
    <w:rsid w:val="00902465"/>
    <w:rsid w:val="00902AC1"/>
    <w:rsid w:val="00A005DF"/>
    <w:rsid w:val="00A146D9"/>
    <w:rsid w:val="00A90092"/>
    <w:rsid w:val="00BA0579"/>
    <w:rsid w:val="00BE2BE8"/>
    <w:rsid w:val="00CA408D"/>
    <w:rsid w:val="00CC30D3"/>
    <w:rsid w:val="00D100E7"/>
    <w:rsid w:val="00E319C3"/>
    <w:rsid w:val="00E52705"/>
    <w:rsid w:val="00EB1E3C"/>
    <w:rsid w:val="00F90D94"/>
    <w:rsid w:val="00F97C50"/>
    <w:rsid w:val="00F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15</cp:revision>
  <dcterms:created xsi:type="dcterms:W3CDTF">2014-10-28T19:04:00Z</dcterms:created>
  <dcterms:modified xsi:type="dcterms:W3CDTF">2014-12-02T19:54:00Z</dcterms:modified>
</cp:coreProperties>
</file>